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CDF9F" w14:textId="4403FAFE" w:rsidR="007556AF" w:rsidRPr="00D7206A" w:rsidRDefault="00100B6B" w:rsidP="00821E3D">
      <w:pPr>
        <w:pStyle w:val="Title"/>
        <w:rPr>
          <w:rFonts w:ascii="Aptos" w:hAnsi="Aptos"/>
          <w:b w:val="0"/>
          <w:bCs/>
        </w:rPr>
      </w:pPr>
      <w:r w:rsidRPr="00D7206A">
        <w:rPr>
          <w:rFonts w:ascii="Aptos" w:hAnsi="Aptos"/>
          <w:b w:val="0"/>
          <w:bCs/>
          <w:noProof/>
          <w:lang w:eastAsia="en-GB"/>
        </w:rPr>
        <mc:AlternateContent>
          <mc:Choice Requires="wps">
            <w:drawing>
              <wp:anchor distT="0" distB="0" distL="114300" distR="114300" simplePos="0" relativeHeight="251659264" behindDoc="1" locked="0" layoutInCell="1" allowOverlap="1" wp14:anchorId="479786B6" wp14:editId="093AFE9A">
                <wp:simplePos x="0" y="0"/>
                <wp:positionH relativeFrom="column">
                  <wp:posOffset>-581025</wp:posOffset>
                </wp:positionH>
                <wp:positionV relativeFrom="paragraph">
                  <wp:posOffset>-681990</wp:posOffset>
                </wp:positionV>
                <wp:extent cx="10857230" cy="2162175"/>
                <wp:effectExtent l="0" t="0" r="1270" b="9525"/>
                <wp:wrapNone/>
                <wp:docPr id="929561423" name="Rectangle 1"/>
                <wp:cNvGraphicFramePr/>
                <a:graphic xmlns:a="http://schemas.openxmlformats.org/drawingml/2006/main">
                  <a:graphicData uri="http://schemas.microsoft.com/office/word/2010/wordprocessingShape">
                    <wps:wsp>
                      <wps:cNvSpPr/>
                      <wps:spPr>
                        <a:xfrm>
                          <a:off x="0" y="0"/>
                          <a:ext cx="10857230" cy="2162175"/>
                        </a:xfrm>
                        <a:prstGeom prst="rect">
                          <a:avLst/>
                        </a:prstGeom>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706AC" id="Rectangle 1" o:spid="_x0000_s1026" style="position:absolute;margin-left:-45.75pt;margin-top:-53.7pt;width:854.9pt;height:17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" fillcolor="#241e4c [3200]" stroked="f" strokeweight="1pt"/>
            </w:pict>
          </mc:Fallback>
        </mc:AlternateContent>
      </w:r>
      <w:r w:rsidR="00E579E8" w:rsidRPr="00D7206A">
        <w:rPr>
          <w:rFonts w:ascii="Aptos" w:hAnsi="Aptos"/>
          <w:b w:val="0"/>
          <w:bCs/>
          <w:noProof/>
          <w:lang w:eastAsia="en-GB"/>
        </w:rPr>
        <mc:AlternateContent>
          <mc:Choice Requires="wps">
            <w:drawing>
              <wp:anchor distT="45720" distB="45720" distL="114300" distR="114300" simplePos="0" relativeHeight="251662336" behindDoc="0" locked="0" layoutInCell="1" allowOverlap="1" wp14:anchorId="3EBFFD1D" wp14:editId="67C0C208">
                <wp:simplePos x="0" y="0"/>
                <wp:positionH relativeFrom="column">
                  <wp:posOffset>-133351</wp:posOffset>
                </wp:positionH>
                <wp:positionV relativeFrom="paragraph">
                  <wp:posOffset>-228600</wp:posOffset>
                </wp:positionV>
                <wp:extent cx="759142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1425" cy="1404620"/>
                        </a:xfrm>
                        <a:prstGeom prst="rect">
                          <a:avLst/>
                        </a:prstGeom>
                        <a:noFill/>
                        <a:ln w="9525">
                          <a:noFill/>
                          <a:miter lim="800000"/>
                          <a:headEnd/>
                          <a:tailEnd/>
                        </a:ln>
                      </wps:spPr>
                      <wps:txbx>
                        <w:txbxContent>
                          <w:p w14:paraId="72F171DD" w14:textId="52C3325E" w:rsidR="008158BF" w:rsidRPr="008158BF" w:rsidRDefault="00E579E8" w:rsidP="008158BF">
                            <w:pPr>
                              <w:pStyle w:val="Title"/>
                              <w:rPr>
                                <w:b w:val="0"/>
                                <w:bCs/>
                                <w:sz w:val="62"/>
                                <w:szCs w:val="144"/>
                              </w:rPr>
                            </w:pPr>
                            <w:r>
                              <w:rPr>
                                <w:b w:val="0"/>
                                <w:bCs/>
                                <w:sz w:val="62"/>
                                <w:szCs w:val="144"/>
                              </w:rPr>
                              <w:t xml:space="preserve">Student Funding | </w:t>
                            </w:r>
                            <w:r w:rsidR="008158BF" w:rsidRPr="00254E96">
                              <w:rPr>
                                <w:bCs/>
                                <w:sz w:val="62"/>
                                <w:szCs w:val="144"/>
                              </w:rPr>
                              <w:t>Childcare Funding Guide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BFFD1D" id="_x0000_t202" coordsize="21600,21600" o:spt="202" path="m,l,21600r21600,l21600,xe">
                <v:stroke joinstyle="miter"/>
                <v:path gradientshapeok="t" o:connecttype="rect"/>
              </v:shapetype>
              <v:shape id="Text Box 2" o:spid="_x0000_s1026" type="#_x0000_t202" style="position:absolute;margin-left:-10.5pt;margin-top:-18pt;width:597.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" filled="f" stroked="f">
                <v:textbox style="mso-fit-shape-to-text:t">
                  <w:txbxContent>
                    <w:p w14:paraId="72F171DD" w14:textId="52C3325E" w:rsidR="008158BF" w:rsidRPr="008158BF" w:rsidRDefault="00E579E8" w:rsidP="008158BF">
                      <w:pPr>
                        <w:pStyle w:val="Title"/>
                        <w:rPr>
                          <w:b w:val="0"/>
                          <w:bCs/>
                          <w:sz w:val="62"/>
                          <w:szCs w:val="144"/>
                        </w:rPr>
                      </w:pPr>
                      <w:r>
                        <w:rPr>
                          <w:b w:val="0"/>
                          <w:bCs/>
                          <w:sz w:val="62"/>
                          <w:szCs w:val="144"/>
                        </w:rPr>
                        <w:t xml:space="preserve">Student Funding | </w:t>
                      </w:r>
                      <w:r w:rsidR="008158BF" w:rsidRPr="00254E96">
                        <w:rPr>
                          <w:bCs/>
                          <w:sz w:val="62"/>
                          <w:szCs w:val="144"/>
                        </w:rPr>
                        <w:t>Childcare Funding Guide</w:t>
                      </w:r>
                    </w:p>
                  </w:txbxContent>
                </v:textbox>
              </v:shape>
            </w:pict>
          </mc:Fallback>
        </mc:AlternateContent>
      </w:r>
    </w:p>
    <w:p w14:paraId="689B7A0D" w14:textId="778F4804" w:rsidR="00A44F16" w:rsidRPr="00D7206A" w:rsidRDefault="00A44F16" w:rsidP="00821E3D">
      <w:pPr>
        <w:pStyle w:val="Subtitle"/>
        <w:contextualSpacing/>
        <w:rPr>
          <w:rFonts w:ascii="Aptos" w:hAnsi="Aptos"/>
          <w:color w:val="FFFFFF" w:themeColor="background1"/>
        </w:rPr>
      </w:pPr>
      <w:r w:rsidRPr="00D7206A">
        <w:rPr>
          <w:rFonts w:ascii="Aptos" w:hAnsi="Aptos"/>
          <w:color w:val="FFFFFF" w:themeColor="background1"/>
        </w:rPr>
        <w:t>Academic Session 202</w:t>
      </w:r>
      <w:r w:rsidR="002071F8" w:rsidRPr="00D7206A">
        <w:rPr>
          <w:rFonts w:ascii="Aptos" w:hAnsi="Aptos"/>
          <w:color w:val="FFFFFF" w:themeColor="background1"/>
        </w:rPr>
        <w:t>5</w:t>
      </w:r>
      <w:r w:rsidRPr="00D7206A">
        <w:rPr>
          <w:rFonts w:ascii="Aptos" w:hAnsi="Aptos"/>
          <w:color w:val="FFFFFF" w:themeColor="background1"/>
        </w:rPr>
        <w:t>-2</w:t>
      </w:r>
      <w:r w:rsidR="002071F8" w:rsidRPr="00D7206A">
        <w:rPr>
          <w:rFonts w:ascii="Aptos" w:hAnsi="Aptos"/>
          <w:color w:val="FFFFFF" w:themeColor="background1"/>
        </w:rPr>
        <w:t>6</w:t>
      </w:r>
    </w:p>
    <w:p w14:paraId="2FA633C5" w14:textId="6FCAC13C" w:rsidR="006D4804" w:rsidRPr="00D7206A" w:rsidRDefault="00A44F16" w:rsidP="00821E3D">
      <w:pPr>
        <w:contextualSpacing/>
        <w:rPr>
          <w:rFonts w:ascii="Aptos" w:hAnsi="Aptos"/>
          <w:color w:val="FFFFFF" w:themeColor="background1"/>
        </w:rPr>
        <w:sectPr w:rsidR="006D4804" w:rsidRPr="00D7206A" w:rsidSect="006D4804">
          <w:headerReference w:type="default" r:id="rId7"/>
          <w:footerReference w:type="default" r:id="rId8"/>
          <w:pgSz w:w="16838" w:h="11906" w:orient="landscape"/>
          <w:pgMar w:top="720" w:right="720" w:bottom="720" w:left="720" w:header="708" w:footer="708" w:gutter="0"/>
          <w:cols w:space="708"/>
          <w:docGrid w:linePitch="360"/>
        </w:sectPr>
      </w:pPr>
      <w:r w:rsidRPr="00D7206A">
        <w:rPr>
          <w:rFonts w:ascii="Aptos" w:hAnsi="Aptos"/>
          <w:color w:val="FFFFFF" w:themeColor="background1"/>
        </w:rPr>
        <w:t>While studying, students can apply for funding to assist with</w:t>
      </w:r>
      <w:r w:rsidR="002E1DF2" w:rsidRPr="00D7206A">
        <w:rPr>
          <w:rFonts w:ascii="Aptos" w:hAnsi="Aptos"/>
          <w:color w:val="FFFFFF" w:themeColor="background1"/>
        </w:rPr>
        <w:t xml:space="preserve"> eligible</w:t>
      </w:r>
      <w:r w:rsidRPr="00D7206A">
        <w:rPr>
          <w:rFonts w:ascii="Aptos" w:hAnsi="Aptos"/>
          <w:color w:val="FFFFFF" w:themeColor="background1"/>
        </w:rPr>
        <w:t xml:space="preserve"> Childcare costs. General information about childcare funding can be found in the Student Funding Guide 202</w:t>
      </w:r>
      <w:r w:rsidR="002071F8" w:rsidRPr="00D7206A">
        <w:rPr>
          <w:rFonts w:ascii="Aptos" w:hAnsi="Aptos"/>
          <w:color w:val="FFFFFF" w:themeColor="background1"/>
        </w:rPr>
        <w:t>5</w:t>
      </w:r>
      <w:r w:rsidRPr="00D7206A">
        <w:rPr>
          <w:rFonts w:ascii="Aptos" w:hAnsi="Aptos"/>
          <w:color w:val="FFFFFF" w:themeColor="background1"/>
        </w:rPr>
        <w:t>-2</w:t>
      </w:r>
      <w:r w:rsidR="002071F8" w:rsidRPr="00D7206A">
        <w:rPr>
          <w:rFonts w:ascii="Aptos" w:hAnsi="Aptos"/>
          <w:color w:val="FFFFFF" w:themeColor="background1"/>
        </w:rPr>
        <w:t>6</w:t>
      </w:r>
      <w:r w:rsidRPr="00D7206A">
        <w:rPr>
          <w:rFonts w:ascii="Aptos" w:hAnsi="Aptos"/>
          <w:color w:val="FFFFFF" w:themeColor="background1"/>
        </w:rPr>
        <w:t>. This guide answers common questions about childcare funding. If you have any further questions, please cont</w:t>
      </w:r>
      <w:r w:rsidR="006D4804" w:rsidRPr="00D7206A">
        <w:rPr>
          <w:rFonts w:ascii="Aptos" w:hAnsi="Aptos"/>
          <w:color w:val="FFFFFF" w:themeColor="background1"/>
        </w:rPr>
        <w:t>act Student Funding directly.</w:t>
      </w:r>
    </w:p>
    <w:p w14:paraId="161CC763" w14:textId="77777777" w:rsidR="00A44F16" w:rsidRPr="00D7206A" w:rsidRDefault="00A44F16" w:rsidP="002E1DF2">
      <w:pPr>
        <w:pStyle w:val="Heading1"/>
        <w:contextualSpacing/>
        <w:rPr>
          <w:rFonts w:ascii="Aptos" w:hAnsi="Aptos"/>
        </w:rPr>
      </w:pPr>
      <w:r w:rsidRPr="00D7206A">
        <w:rPr>
          <w:rFonts w:ascii="Aptos" w:hAnsi="Aptos"/>
        </w:rPr>
        <w:t>Who can apply for childcare funding?</w:t>
      </w:r>
    </w:p>
    <w:p w14:paraId="6919EAFE" w14:textId="77777777" w:rsidR="00A44F16" w:rsidRPr="00D7206A" w:rsidRDefault="00A44F16" w:rsidP="002E1DF2">
      <w:pPr>
        <w:contextualSpacing/>
        <w:rPr>
          <w:rFonts w:ascii="Aptos" w:hAnsi="Aptos"/>
        </w:rPr>
      </w:pPr>
      <w:r w:rsidRPr="00D7206A">
        <w:rPr>
          <w:rFonts w:ascii="Aptos" w:hAnsi="Aptos"/>
        </w:rPr>
        <w:t xml:space="preserve">You can apply for funding from the childcare fund if you are a </w:t>
      </w:r>
      <w:r w:rsidRPr="00D7206A">
        <w:rPr>
          <w:rFonts w:ascii="Aptos" w:hAnsi="Aptos"/>
          <w:b/>
          <w:bCs/>
        </w:rPr>
        <w:t>full-time student</w:t>
      </w:r>
      <w:r w:rsidRPr="00D7206A">
        <w:rPr>
          <w:rFonts w:ascii="Aptos" w:hAnsi="Aptos"/>
        </w:rPr>
        <w:t xml:space="preserve"> (both Further Education (FE) and Higher Education (HE) c</w:t>
      </w:r>
      <w:r w:rsidR="0059093E" w:rsidRPr="00D7206A">
        <w:rPr>
          <w:rFonts w:ascii="Aptos" w:hAnsi="Aptos"/>
        </w:rPr>
        <w:t>ourses), or a student on certain part-time FE courses</w:t>
      </w:r>
      <w:r w:rsidRPr="00D7206A">
        <w:rPr>
          <w:rFonts w:ascii="Aptos" w:hAnsi="Aptos"/>
        </w:rPr>
        <w:t>.</w:t>
      </w:r>
    </w:p>
    <w:p w14:paraId="2258FDCC" w14:textId="77777777" w:rsidR="00A44F16" w:rsidRPr="00D7206A" w:rsidRDefault="00A44F16" w:rsidP="002E1DF2">
      <w:pPr>
        <w:pStyle w:val="Heading1"/>
        <w:contextualSpacing/>
        <w:rPr>
          <w:rFonts w:ascii="Aptos" w:hAnsi="Aptos"/>
        </w:rPr>
      </w:pPr>
      <w:r w:rsidRPr="00D7206A">
        <w:rPr>
          <w:rFonts w:ascii="Aptos" w:hAnsi="Aptos"/>
        </w:rPr>
        <w:t>How do I know if I’m eligible?</w:t>
      </w:r>
    </w:p>
    <w:p w14:paraId="4B0D47B0" w14:textId="77777777" w:rsidR="00A44F16" w:rsidRPr="00D7206A" w:rsidRDefault="00A44F16" w:rsidP="002E1DF2">
      <w:pPr>
        <w:pStyle w:val="Heading2"/>
        <w:contextualSpacing/>
        <w:rPr>
          <w:rFonts w:ascii="Aptos" w:hAnsi="Aptos"/>
        </w:rPr>
      </w:pPr>
      <w:r w:rsidRPr="00D7206A">
        <w:rPr>
          <w:rFonts w:ascii="Aptos" w:hAnsi="Aptos"/>
        </w:rPr>
        <w:t>FE Students</w:t>
      </w:r>
    </w:p>
    <w:p w14:paraId="5783F6D7" w14:textId="77777777" w:rsidR="00A44F16" w:rsidRPr="00D7206A" w:rsidRDefault="0059093E" w:rsidP="002E1DF2">
      <w:pPr>
        <w:contextualSpacing/>
        <w:rPr>
          <w:rFonts w:ascii="Aptos" w:hAnsi="Aptos"/>
        </w:rPr>
      </w:pPr>
      <w:r w:rsidRPr="00D7206A">
        <w:rPr>
          <w:rFonts w:ascii="Aptos" w:hAnsi="Aptos"/>
        </w:rPr>
        <w:t xml:space="preserve">To be eligible, FE students must meet the </w:t>
      </w:r>
      <w:r w:rsidRPr="00D7206A">
        <w:rPr>
          <w:rFonts w:ascii="Aptos" w:hAnsi="Aptos"/>
          <w:b/>
          <w:bCs/>
        </w:rPr>
        <w:t>residency</w:t>
      </w:r>
      <w:r w:rsidRPr="00D7206A">
        <w:rPr>
          <w:rFonts w:ascii="Aptos" w:hAnsi="Aptos"/>
        </w:rPr>
        <w:t xml:space="preserve"> criteria and be beyond the </w:t>
      </w:r>
      <w:r w:rsidRPr="00D7206A">
        <w:rPr>
          <w:rFonts w:ascii="Aptos" w:hAnsi="Aptos"/>
          <w:b/>
          <w:bCs/>
        </w:rPr>
        <w:t>statutory school leaving age</w:t>
      </w:r>
      <w:r w:rsidRPr="00D7206A">
        <w:rPr>
          <w:rFonts w:ascii="Aptos" w:hAnsi="Aptos"/>
        </w:rPr>
        <w:t>. You may still be able to receive assistance with childcare costs even if you do not qualify for bursary funding due to your previous duration of support. Contact Student Funding for more information on this.</w:t>
      </w:r>
    </w:p>
    <w:p w14:paraId="7CA17004" w14:textId="77777777" w:rsidR="0059093E" w:rsidRPr="00D7206A" w:rsidRDefault="0059093E" w:rsidP="002E1DF2">
      <w:pPr>
        <w:pStyle w:val="Heading2"/>
        <w:contextualSpacing/>
        <w:rPr>
          <w:rFonts w:ascii="Aptos" w:hAnsi="Aptos"/>
        </w:rPr>
      </w:pPr>
      <w:r w:rsidRPr="00D7206A">
        <w:rPr>
          <w:rFonts w:ascii="Aptos" w:hAnsi="Aptos"/>
        </w:rPr>
        <w:t>HE Students</w:t>
      </w:r>
    </w:p>
    <w:p w14:paraId="16EAFBD9" w14:textId="77777777" w:rsidR="008158BF" w:rsidRPr="00D7206A" w:rsidRDefault="0059093E" w:rsidP="008158BF">
      <w:pPr>
        <w:rPr>
          <w:rFonts w:ascii="Aptos" w:hAnsi="Aptos"/>
        </w:rPr>
      </w:pPr>
      <w:r w:rsidRPr="00D7206A">
        <w:rPr>
          <w:rFonts w:ascii="Aptos" w:hAnsi="Aptos"/>
        </w:rPr>
        <w:t xml:space="preserve">To be eligible, HE students must have applied for the </w:t>
      </w:r>
      <w:r w:rsidRPr="00D7206A">
        <w:rPr>
          <w:rFonts w:ascii="Aptos" w:hAnsi="Aptos"/>
          <w:b/>
          <w:bCs/>
        </w:rPr>
        <w:t>maximum funding</w:t>
      </w:r>
      <w:r w:rsidRPr="00D7206A">
        <w:rPr>
          <w:rFonts w:ascii="Aptos" w:hAnsi="Aptos"/>
        </w:rPr>
        <w:t xml:space="preserve"> available to them from SAAS and the Student Loans Company.</w:t>
      </w:r>
    </w:p>
    <w:p w14:paraId="0E0F85DA" w14:textId="65B975D9" w:rsidR="0059093E" w:rsidRPr="00D7206A" w:rsidRDefault="0059093E" w:rsidP="008158BF">
      <w:pPr>
        <w:rPr>
          <w:rFonts w:ascii="Aptos" w:hAnsi="Aptos"/>
        </w:rPr>
      </w:pPr>
      <w:r w:rsidRPr="00D7206A">
        <w:rPr>
          <w:rFonts w:ascii="Aptos" w:hAnsi="Aptos"/>
        </w:rPr>
        <w:t>You must be eligible to receive your tuition fees from SAAS. If SAAS are not paying your tuition fees, you cannot access childcare funding from the college. You must also have applied for all bursaries and grants applicable to you and have been awarded the maximum means-assessed loan from the Student Loan Company.</w:t>
      </w:r>
    </w:p>
    <w:p w14:paraId="048EAB67" w14:textId="77777777" w:rsidR="0059093E" w:rsidRPr="00D7206A" w:rsidRDefault="0059093E" w:rsidP="002E1DF2">
      <w:pPr>
        <w:pStyle w:val="Heading1"/>
        <w:contextualSpacing/>
        <w:rPr>
          <w:rFonts w:ascii="Aptos" w:hAnsi="Aptos"/>
        </w:rPr>
      </w:pPr>
      <w:r w:rsidRPr="00D7206A">
        <w:rPr>
          <w:rFonts w:ascii="Aptos" w:hAnsi="Aptos"/>
        </w:rPr>
        <w:t>Is there any additional assistance for lone parents?</w:t>
      </w:r>
    </w:p>
    <w:p w14:paraId="70525286" w14:textId="77777777" w:rsidR="00314ECB" w:rsidRPr="00D7206A" w:rsidRDefault="002E1DF2" w:rsidP="006D4804">
      <w:pPr>
        <w:rPr>
          <w:rFonts w:ascii="Aptos" w:hAnsi="Aptos"/>
        </w:rPr>
      </w:pPr>
      <w:r w:rsidRPr="00D7206A">
        <w:rPr>
          <w:rFonts w:ascii="Aptos" w:hAnsi="Aptos"/>
        </w:rPr>
        <w:t xml:space="preserve">There is the </w:t>
      </w:r>
      <w:r w:rsidRPr="00D7206A">
        <w:rPr>
          <w:rFonts w:ascii="Aptos" w:hAnsi="Aptos"/>
          <w:b/>
        </w:rPr>
        <w:t>Lone Parents’ Childcare Grant (LPCG)</w:t>
      </w:r>
      <w:r w:rsidRPr="00D7206A">
        <w:rPr>
          <w:rFonts w:ascii="Aptos" w:hAnsi="Aptos"/>
        </w:rPr>
        <w:t xml:space="preserve"> which is up to £1,215 for formal childcare costs. The college draws this funding on your </w:t>
      </w:r>
      <w:proofErr w:type="gramStart"/>
      <w:r w:rsidRPr="00D7206A">
        <w:rPr>
          <w:rFonts w:ascii="Aptos" w:hAnsi="Aptos"/>
        </w:rPr>
        <w:t>behalf</w:t>
      </w:r>
      <w:proofErr w:type="gramEnd"/>
      <w:r w:rsidRPr="00D7206A">
        <w:rPr>
          <w:rFonts w:ascii="Aptos" w:hAnsi="Aptos"/>
        </w:rPr>
        <w:t xml:space="preserve"> so you don’t need to do anything to get this funding. Even if you are not eligible for funds from the college childcare fund, you may still be able to access the LPCG.</w:t>
      </w:r>
    </w:p>
    <w:p w14:paraId="2134E328" w14:textId="6E4EC0B3" w:rsidR="002E1DF2" w:rsidRPr="00D7206A" w:rsidRDefault="002E1DF2" w:rsidP="006D4804">
      <w:pPr>
        <w:rPr>
          <w:rFonts w:ascii="Aptos" w:hAnsi="Aptos"/>
        </w:rPr>
      </w:pPr>
      <w:r w:rsidRPr="00D7206A">
        <w:rPr>
          <w:rFonts w:ascii="Aptos" w:hAnsi="Aptos"/>
        </w:rPr>
        <w:t xml:space="preserve">The </w:t>
      </w:r>
      <w:r w:rsidRPr="00D7206A">
        <w:rPr>
          <w:rFonts w:ascii="Aptos" w:hAnsi="Aptos"/>
          <w:b/>
        </w:rPr>
        <w:t>Lone Parents’ Grant</w:t>
      </w:r>
      <w:r w:rsidRPr="00D7206A">
        <w:rPr>
          <w:rFonts w:ascii="Aptos" w:hAnsi="Aptos"/>
        </w:rPr>
        <w:t xml:space="preserve"> is also available for HE students and this is applied for through SAAS. The Lone Parents’ </w:t>
      </w:r>
      <w:r w:rsidR="00231686" w:rsidRPr="00D7206A">
        <w:rPr>
          <w:rFonts w:ascii="Aptos" w:hAnsi="Aptos"/>
        </w:rPr>
        <w:t>G</w:t>
      </w:r>
      <w:r w:rsidRPr="00D7206A">
        <w:rPr>
          <w:rFonts w:ascii="Aptos" w:hAnsi="Aptos"/>
        </w:rPr>
        <w:t xml:space="preserve">rant is an award of up to £1,305 for lone parents and is paid directly to the student. </w:t>
      </w:r>
      <w:r w:rsidR="00D7206A" w:rsidRPr="00D7206A">
        <w:rPr>
          <w:rFonts w:ascii="Aptos" w:hAnsi="Aptos"/>
        </w:rPr>
        <w:t>Or</w:t>
      </w:r>
      <w:r w:rsidRPr="00D7206A">
        <w:rPr>
          <w:rFonts w:ascii="Aptos" w:hAnsi="Aptos"/>
        </w:rPr>
        <w:t xml:space="preserve"> you may receive extra allowances against your assessable income. Contact SAAS for more information.</w:t>
      </w:r>
    </w:p>
    <w:p w14:paraId="04FB2E68" w14:textId="77777777" w:rsidR="002E1DF2" w:rsidRPr="00D7206A" w:rsidRDefault="002E1DF2" w:rsidP="002E1DF2">
      <w:pPr>
        <w:pStyle w:val="Heading1"/>
        <w:rPr>
          <w:rFonts w:ascii="Aptos" w:hAnsi="Aptos"/>
        </w:rPr>
      </w:pPr>
      <w:r w:rsidRPr="00D7206A">
        <w:rPr>
          <w:rFonts w:ascii="Aptos" w:hAnsi="Aptos"/>
        </w:rPr>
        <w:t xml:space="preserve">What are ‘eligible childcare </w:t>
      </w:r>
      <w:proofErr w:type="gramStart"/>
      <w:r w:rsidRPr="00D7206A">
        <w:rPr>
          <w:rFonts w:ascii="Aptos" w:hAnsi="Aptos"/>
        </w:rPr>
        <w:t>costs’</w:t>
      </w:r>
      <w:proofErr w:type="gramEnd"/>
      <w:r w:rsidRPr="00D7206A">
        <w:rPr>
          <w:rFonts w:ascii="Aptos" w:hAnsi="Aptos"/>
        </w:rPr>
        <w:t>?</w:t>
      </w:r>
    </w:p>
    <w:p w14:paraId="394D90B2" w14:textId="26D2212F" w:rsidR="008158BF" w:rsidRPr="00D7206A" w:rsidRDefault="002E1DF2" w:rsidP="006D4804">
      <w:pPr>
        <w:rPr>
          <w:rFonts w:ascii="Aptos" w:hAnsi="Aptos"/>
        </w:rPr>
      </w:pPr>
      <w:r w:rsidRPr="00D7206A">
        <w:rPr>
          <w:rFonts w:ascii="Aptos" w:hAnsi="Aptos"/>
        </w:rPr>
        <w:t xml:space="preserve">Childcare funding is means-assessed (see </w:t>
      </w:r>
      <w:r w:rsidR="008158BF" w:rsidRPr="00D7206A">
        <w:rPr>
          <w:rFonts w:ascii="Aptos" w:hAnsi="Aptos"/>
          <w:bCs/>
        </w:rPr>
        <w:t xml:space="preserve">the </w:t>
      </w:r>
      <w:r w:rsidR="008158BF" w:rsidRPr="00D7206A">
        <w:rPr>
          <w:rFonts w:ascii="Aptos" w:hAnsi="Aptos"/>
          <w:b/>
        </w:rPr>
        <w:t>Student Funding Guide 202</w:t>
      </w:r>
      <w:r w:rsidR="00D45BF4" w:rsidRPr="00D7206A">
        <w:rPr>
          <w:rFonts w:ascii="Aptos" w:hAnsi="Aptos"/>
          <w:b/>
        </w:rPr>
        <w:t>5</w:t>
      </w:r>
      <w:r w:rsidR="008158BF" w:rsidRPr="00D7206A">
        <w:rPr>
          <w:rFonts w:ascii="Aptos" w:hAnsi="Aptos"/>
          <w:b/>
        </w:rPr>
        <w:t>-2</w:t>
      </w:r>
      <w:r w:rsidR="00D45BF4" w:rsidRPr="00D7206A">
        <w:rPr>
          <w:rFonts w:ascii="Aptos" w:hAnsi="Aptos"/>
          <w:b/>
        </w:rPr>
        <w:t>6</w:t>
      </w:r>
      <w:r w:rsidRPr="00D7206A">
        <w:rPr>
          <w:rFonts w:ascii="Aptos" w:hAnsi="Aptos"/>
        </w:rPr>
        <w:t xml:space="preserve">) and you can be awarded a percentage of their eligible childcare costs for each week you are in college. </w:t>
      </w:r>
    </w:p>
    <w:p w14:paraId="332FFA17" w14:textId="10CE7B80" w:rsidR="002E1DF2" w:rsidRPr="00D7206A" w:rsidRDefault="002E1DF2" w:rsidP="006D4804">
      <w:pPr>
        <w:rPr>
          <w:rFonts w:ascii="Aptos" w:hAnsi="Aptos"/>
        </w:rPr>
      </w:pPr>
      <w:r w:rsidRPr="00D7206A">
        <w:rPr>
          <w:rFonts w:ascii="Aptos" w:hAnsi="Aptos"/>
        </w:rPr>
        <w:t>Students who have a partner who is at home (i.e. not in work or education) during their timetabled classes, will not be awarded childcare funding.</w:t>
      </w:r>
    </w:p>
    <w:p w14:paraId="529A0192" w14:textId="2B0FECE6" w:rsidR="002E1DF2" w:rsidRPr="00D7206A" w:rsidRDefault="002E1DF2" w:rsidP="006D4804">
      <w:pPr>
        <w:rPr>
          <w:rFonts w:ascii="Aptos" w:hAnsi="Aptos"/>
          <w:b/>
          <w:bCs/>
        </w:rPr>
      </w:pPr>
      <w:r w:rsidRPr="00D7206A">
        <w:rPr>
          <w:rFonts w:ascii="Aptos" w:hAnsi="Aptos"/>
        </w:rPr>
        <w:t xml:space="preserve">Costs incurred for the provision of childcare for timetabled classes and mandatory work placement (plus 1 hour’s travel to college and then from college each day) are </w:t>
      </w:r>
      <w:r w:rsidRPr="00D7206A">
        <w:rPr>
          <w:rFonts w:ascii="Aptos" w:hAnsi="Aptos"/>
        </w:rPr>
        <w:lastRenderedPageBreak/>
        <w:t>eligible for assessment for funding.</w:t>
      </w:r>
      <w:r w:rsidR="00ED7AB4" w:rsidRPr="00D7206A">
        <w:rPr>
          <w:rFonts w:ascii="Aptos" w:hAnsi="Aptos"/>
        </w:rPr>
        <w:t xml:space="preserve"> </w:t>
      </w:r>
      <w:r w:rsidR="00ED7AB4" w:rsidRPr="00D7206A">
        <w:rPr>
          <w:rFonts w:ascii="Aptos" w:hAnsi="Aptos"/>
          <w:b/>
          <w:bCs/>
        </w:rPr>
        <w:t>You must make sure your provider has a copy of your timetable.</w:t>
      </w:r>
    </w:p>
    <w:p w14:paraId="793B273C" w14:textId="77777777" w:rsidR="002E1DF2" w:rsidRPr="00D7206A" w:rsidRDefault="002E1DF2" w:rsidP="006D4804">
      <w:pPr>
        <w:rPr>
          <w:rFonts w:ascii="Aptos" w:hAnsi="Aptos"/>
        </w:rPr>
      </w:pPr>
      <w:r w:rsidRPr="00D7206A">
        <w:rPr>
          <w:rFonts w:ascii="Aptos" w:hAnsi="Aptos"/>
        </w:rPr>
        <w:t xml:space="preserve">Please note that certain childcare providers will ask for payment during </w:t>
      </w:r>
      <w:proofErr w:type="gramStart"/>
      <w:r w:rsidRPr="00D7206A">
        <w:rPr>
          <w:rFonts w:ascii="Aptos" w:hAnsi="Aptos"/>
        </w:rPr>
        <w:t>College</w:t>
      </w:r>
      <w:proofErr w:type="gramEnd"/>
      <w:r w:rsidRPr="00D7206A">
        <w:rPr>
          <w:rFonts w:ascii="Aptos" w:hAnsi="Aptos"/>
        </w:rPr>
        <w:t xml:space="preserve"> holiday periods and for days or times when you are not timetabled to be in </w:t>
      </w:r>
      <w:proofErr w:type="gramStart"/>
      <w:r w:rsidRPr="00D7206A">
        <w:rPr>
          <w:rFonts w:ascii="Aptos" w:hAnsi="Aptos"/>
        </w:rPr>
        <w:t>College</w:t>
      </w:r>
      <w:proofErr w:type="gramEnd"/>
      <w:r w:rsidRPr="00D7206A">
        <w:rPr>
          <w:rFonts w:ascii="Aptos" w:hAnsi="Aptos"/>
        </w:rPr>
        <w:t xml:space="preserve">. The College will </w:t>
      </w:r>
      <w:r w:rsidRPr="00D7206A">
        <w:rPr>
          <w:rFonts w:ascii="Aptos" w:hAnsi="Aptos"/>
          <w:u w:val="single"/>
        </w:rPr>
        <w:t>not</w:t>
      </w:r>
      <w:r w:rsidRPr="00D7206A">
        <w:rPr>
          <w:rFonts w:ascii="Aptos" w:hAnsi="Aptos"/>
        </w:rPr>
        <w:t xml:space="preserve"> pay for these days or times.</w:t>
      </w:r>
    </w:p>
    <w:p w14:paraId="6D5D29E5" w14:textId="462630D0" w:rsidR="002E1DF2" w:rsidRPr="00D7206A" w:rsidRDefault="002E1DF2" w:rsidP="002E1DF2">
      <w:pPr>
        <w:pStyle w:val="Heading1"/>
        <w:rPr>
          <w:rFonts w:ascii="Aptos" w:hAnsi="Aptos"/>
        </w:rPr>
      </w:pPr>
      <w:r w:rsidRPr="00D7206A">
        <w:rPr>
          <w:rFonts w:ascii="Aptos" w:hAnsi="Aptos"/>
        </w:rPr>
        <w:t>What are the childcare award rates?</w:t>
      </w:r>
    </w:p>
    <w:p w14:paraId="2A1D3532" w14:textId="74059374" w:rsidR="002E1DF2" w:rsidRPr="00D7206A" w:rsidRDefault="002E1DF2" w:rsidP="006D4804">
      <w:pPr>
        <w:rPr>
          <w:rFonts w:ascii="Aptos" w:hAnsi="Aptos"/>
        </w:rPr>
      </w:pPr>
      <w:r w:rsidRPr="00D7206A">
        <w:rPr>
          <w:rFonts w:ascii="Aptos" w:hAnsi="Aptos"/>
        </w:rPr>
        <w:t>Childcare funding is means-assessed based on the student’s income and their partner where relevant. The means-assessment determines what percentage of the eligible costs (as described above) is payable.</w:t>
      </w:r>
    </w:p>
    <w:p w14:paraId="3D8E9482" w14:textId="77777777" w:rsidR="002E1DF2" w:rsidRPr="00D7206A" w:rsidRDefault="002E1DF2" w:rsidP="006D4804">
      <w:pPr>
        <w:rPr>
          <w:rFonts w:ascii="Aptos" w:hAnsi="Aptos"/>
        </w:rPr>
      </w:pPr>
      <w:r w:rsidRPr="00D7206A">
        <w:rPr>
          <w:rFonts w:ascii="Aptos" w:hAnsi="Aptos"/>
        </w:rPr>
        <w:t>The table below shows the breakdown of the gross household income brackets and the percentage of eligible costs which are payable.</w:t>
      </w:r>
    </w:p>
    <w:tbl>
      <w:tblPr>
        <w:tblStyle w:val="GridTable4-Accent1"/>
        <w:tblW w:w="0" w:type="auto"/>
        <w:tblLook w:val="04A0" w:firstRow="1" w:lastRow="0" w:firstColumn="1" w:lastColumn="0" w:noHBand="0" w:noVBand="1"/>
      </w:tblPr>
      <w:tblGrid>
        <w:gridCol w:w="3672"/>
        <w:gridCol w:w="3663"/>
      </w:tblGrid>
      <w:tr w:rsidR="002E1DF2" w:rsidRPr="00D7206A" w14:paraId="536F3474" w14:textId="77777777" w:rsidTr="00D720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vAlign w:val="center"/>
          </w:tcPr>
          <w:p w14:paraId="21E414CC" w14:textId="77777777" w:rsidR="002E1DF2" w:rsidRPr="00D7206A" w:rsidRDefault="002E1DF2" w:rsidP="00D7206A">
            <w:pPr>
              <w:contextualSpacing/>
              <w:rPr>
                <w:rFonts w:ascii="Aptos" w:hAnsi="Aptos"/>
                <w:b w:val="0"/>
                <w:color w:val="FFFFFF" w:themeColor="background2"/>
              </w:rPr>
            </w:pPr>
            <w:r w:rsidRPr="00D7206A">
              <w:rPr>
                <w:rFonts w:ascii="Aptos" w:hAnsi="Aptos"/>
                <w:color w:val="FFFFFF" w:themeColor="background2"/>
              </w:rPr>
              <w:t>Gross Assessable Household Income</w:t>
            </w:r>
          </w:p>
        </w:tc>
        <w:tc>
          <w:tcPr>
            <w:tcW w:w="3663" w:type="dxa"/>
            <w:vAlign w:val="center"/>
          </w:tcPr>
          <w:p w14:paraId="45FE9A38" w14:textId="77777777" w:rsidR="002E1DF2" w:rsidRPr="00D7206A" w:rsidRDefault="002E1DF2" w:rsidP="00D7206A">
            <w:pPr>
              <w:contextualSpacing/>
              <w:cnfStyle w:val="100000000000" w:firstRow="1" w:lastRow="0" w:firstColumn="0" w:lastColumn="0" w:oddVBand="0" w:evenVBand="0" w:oddHBand="0" w:evenHBand="0" w:firstRowFirstColumn="0" w:firstRowLastColumn="0" w:lastRowFirstColumn="0" w:lastRowLastColumn="0"/>
              <w:rPr>
                <w:rFonts w:ascii="Aptos" w:hAnsi="Aptos"/>
                <w:b w:val="0"/>
                <w:color w:val="FFFFFF" w:themeColor="background2"/>
              </w:rPr>
            </w:pPr>
            <w:r w:rsidRPr="00D7206A">
              <w:rPr>
                <w:rFonts w:ascii="Aptos" w:hAnsi="Aptos"/>
                <w:color w:val="FFFFFF" w:themeColor="background2"/>
              </w:rPr>
              <w:t>Percentage of Eligible Childcare Costs Payable</w:t>
            </w:r>
          </w:p>
        </w:tc>
      </w:tr>
      <w:tr w:rsidR="002E1DF2" w:rsidRPr="00D7206A" w14:paraId="7BB8C039" w14:textId="77777777" w:rsidTr="00821E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tcPr>
          <w:p w14:paraId="6C3C255F" w14:textId="77777777" w:rsidR="002E1DF2" w:rsidRPr="00D7206A" w:rsidRDefault="002E1DF2" w:rsidP="006D4804">
            <w:pPr>
              <w:rPr>
                <w:rFonts w:ascii="Aptos" w:hAnsi="Aptos"/>
              </w:rPr>
            </w:pPr>
            <w:r w:rsidRPr="00D7206A">
              <w:rPr>
                <w:rFonts w:ascii="Aptos" w:hAnsi="Aptos"/>
              </w:rPr>
              <w:t>£0 - £24,999</w:t>
            </w:r>
          </w:p>
        </w:tc>
        <w:tc>
          <w:tcPr>
            <w:tcW w:w="3663" w:type="dxa"/>
          </w:tcPr>
          <w:p w14:paraId="5A72A88B" w14:textId="77777777" w:rsidR="002E1DF2" w:rsidRPr="00D7206A" w:rsidRDefault="002E1DF2" w:rsidP="006D4804">
            <w:pPr>
              <w:cnfStyle w:val="000000100000" w:firstRow="0" w:lastRow="0" w:firstColumn="0" w:lastColumn="0" w:oddVBand="0" w:evenVBand="0" w:oddHBand="1" w:evenHBand="0" w:firstRowFirstColumn="0" w:firstRowLastColumn="0" w:lastRowFirstColumn="0" w:lastRowLastColumn="0"/>
              <w:rPr>
                <w:rFonts w:ascii="Aptos" w:hAnsi="Aptos"/>
              </w:rPr>
            </w:pPr>
            <w:r w:rsidRPr="00D7206A">
              <w:rPr>
                <w:rFonts w:ascii="Aptos" w:hAnsi="Aptos"/>
              </w:rPr>
              <w:t>100%</w:t>
            </w:r>
          </w:p>
        </w:tc>
      </w:tr>
      <w:tr w:rsidR="002E1DF2" w:rsidRPr="00D7206A" w14:paraId="137D15DD" w14:textId="77777777" w:rsidTr="00821E3D">
        <w:tc>
          <w:tcPr>
            <w:cnfStyle w:val="001000000000" w:firstRow="0" w:lastRow="0" w:firstColumn="1" w:lastColumn="0" w:oddVBand="0" w:evenVBand="0" w:oddHBand="0" w:evenHBand="0" w:firstRowFirstColumn="0" w:firstRowLastColumn="0" w:lastRowFirstColumn="0" w:lastRowLastColumn="0"/>
            <w:tcW w:w="3672" w:type="dxa"/>
          </w:tcPr>
          <w:p w14:paraId="79B341D7" w14:textId="77777777" w:rsidR="002E1DF2" w:rsidRPr="00D7206A" w:rsidRDefault="002E1DF2" w:rsidP="006D4804">
            <w:pPr>
              <w:rPr>
                <w:rFonts w:ascii="Aptos" w:hAnsi="Aptos"/>
              </w:rPr>
            </w:pPr>
            <w:r w:rsidRPr="00D7206A">
              <w:rPr>
                <w:rFonts w:ascii="Aptos" w:hAnsi="Aptos"/>
              </w:rPr>
              <w:t>£25,000 - £29,999</w:t>
            </w:r>
          </w:p>
        </w:tc>
        <w:tc>
          <w:tcPr>
            <w:tcW w:w="3663" w:type="dxa"/>
          </w:tcPr>
          <w:p w14:paraId="6CF1CE1D" w14:textId="77777777" w:rsidR="002E1DF2" w:rsidRPr="00D7206A" w:rsidRDefault="002E1DF2" w:rsidP="006D4804">
            <w:pPr>
              <w:cnfStyle w:val="000000000000" w:firstRow="0" w:lastRow="0" w:firstColumn="0" w:lastColumn="0" w:oddVBand="0" w:evenVBand="0" w:oddHBand="0" w:evenHBand="0" w:firstRowFirstColumn="0" w:firstRowLastColumn="0" w:lastRowFirstColumn="0" w:lastRowLastColumn="0"/>
              <w:rPr>
                <w:rFonts w:ascii="Aptos" w:hAnsi="Aptos"/>
              </w:rPr>
            </w:pPr>
            <w:r w:rsidRPr="00D7206A">
              <w:rPr>
                <w:rFonts w:ascii="Aptos" w:hAnsi="Aptos"/>
              </w:rPr>
              <w:t>75%</w:t>
            </w:r>
          </w:p>
        </w:tc>
      </w:tr>
      <w:tr w:rsidR="002E1DF2" w:rsidRPr="00D7206A" w14:paraId="0D3833DE" w14:textId="77777777" w:rsidTr="00821E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tcPr>
          <w:p w14:paraId="40BC8558" w14:textId="77777777" w:rsidR="002E1DF2" w:rsidRPr="00D7206A" w:rsidRDefault="002E1DF2" w:rsidP="006D4804">
            <w:pPr>
              <w:rPr>
                <w:rFonts w:ascii="Aptos" w:hAnsi="Aptos"/>
              </w:rPr>
            </w:pPr>
            <w:r w:rsidRPr="00D7206A">
              <w:rPr>
                <w:rFonts w:ascii="Aptos" w:hAnsi="Aptos"/>
              </w:rPr>
              <w:t>£30,000 - £39,999</w:t>
            </w:r>
          </w:p>
        </w:tc>
        <w:tc>
          <w:tcPr>
            <w:tcW w:w="3663" w:type="dxa"/>
          </w:tcPr>
          <w:p w14:paraId="1B545471" w14:textId="77777777" w:rsidR="002E1DF2" w:rsidRPr="00D7206A" w:rsidRDefault="002E1DF2" w:rsidP="006D4804">
            <w:pPr>
              <w:cnfStyle w:val="000000100000" w:firstRow="0" w:lastRow="0" w:firstColumn="0" w:lastColumn="0" w:oddVBand="0" w:evenVBand="0" w:oddHBand="1" w:evenHBand="0" w:firstRowFirstColumn="0" w:firstRowLastColumn="0" w:lastRowFirstColumn="0" w:lastRowLastColumn="0"/>
              <w:rPr>
                <w:rFonts w:ascii="Aptos" w:hAnsi="Aptos"/>
              </w:rPr>
            </w:pPr>
            <w:r w:rsidRPr="00D7206A">
              <w:rPr>
                <w:rFonts w:ascii="Aptos" w:hAnsi="Aptos"/>
              </w:rPr>
              <w:t>50%</w:t>
            </w:r>
          </w:p>
        </w:tc>
      </w:tr>
      <w:tr w:rsidR="002E1DF2" w:rsidRPr="00D7206A" w14:paraId="56B43854" w14:textId="77777777" w:rsidTr="00821E3D">
        <w:tc>
          <w:tcPr>
            <w:cnfStyle w:val="001000000000" w:firstRow="0" w:lastRow="0" w:firstColumn="1" w:lastColumn="0" w:oddVBand="0" w:evenVBand="0" w:oddHBand="0" w:evenHBand="0" w:firstRowFirstColumn="0" w:firstRowLastColumn="0" w:lastRowFirstColumn="0" w:lastRowLastColumn="0"/>
            <w:tcW w:w="3672" w:type="dxa"/>
          </w:tcPr>
          <w:p w14:paraId="402A83B2" w14:textId="77777777" w:rsidR="002E1DF2" w:rsidRPr="00D7206A" w:rsidRDefault="002E1DF2" w:rsidP="006D4804">
            <w:pPr>
              <w:rPr>
                <w:rFonts w:ascii="Aptos" w:hAnsi="Aptos"/>
              </w:rPr>
            </w:pPr>
            <w:r w:rsidRPr="00D7206A">
              <w:rPr>
                <w:rFonts w:ascii="Aptos" w:hAnsi="Aptos"/>
              </w:rPr>
              <w:t>£40,000+</w:t>
            </w:r>
          </w:p>
        </w:tc>
        <w:tc>
          <w:tcPr>
            <w:tcW w:w="3663" w:type="dxa"/>
          </w:tcPr>
          <w:p w14:paraId="3A0B1869" w14:textId="77777777" w:rsidR="002E1DF2" w:rsidRPr="00D7206A" w:rsidRDefault="002E1DF2" w:rsidP="006D4804">
            <w:pPr>
              <w:cnfStyle w:val="000000000000" w:firstRow="0" w:lastRow="0" w:firstColumn="0" w:lastColumn="0" w:oddVBand="0" w:evenVBand="0" w:oddHBand="0" w:evenHBand="0" w:firstRowFirstColumn="0" w:firstRowLastColumn="0" w:lastRowFirstColumn="0" w:lastRowLastColumn="0"/>
              <w:rPr>
                <w:rFonts w:ascii="Aptos" w:hAnsi="Aptos"/>
              </w:rPr>
            </w:pPr>
            <w:r w:rsidRPr="00D7206A">
              <w:rPr>
                <w:rFonts w:ascii="Aptos" w:hAnsi="Aptos"/>
              </w:rPr>
              <w:t>25%</w:t>
            </w:r>
          </w:p>
        </w:tc>
      </w:tr>
      <w:tr w:rsidR="002E1DF2" w:rsidRPr="00D7206A" w14:paraId="422D16EC" w14:textId="77777777" w:rsidTr="00821E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tcPr>
          <w:p w14:paraId="5AE1D398" w14:textId="77777777" w:rsidR="002E1DF2" w:rsidRPr="00D7206A" w:rsidRDefault="002E1DF2" w:rsidP="006D4804">
            <w:pPr>
              <w:rPr>
                <w:rFonts w:ascii="Aptos" w:hAnsi="Aptos"/>
              </w:rPr>
            </w:pPr>
            <w:r w:rsidRPr="00D7206A">
              <w:rPr>
                <w:rFonts w:ascii="Aptos" w:hAnsi="Aptos"/>
              </w:rPr>
              <w:t>Lone Parent</w:t>
            </w:r>
          </w:p>
        </w:tc>
        <w:tc>
          <w:tcPr>
            <w:tcW w:w="3663" w:type="dxa"/>
          </w:tcPr>
          <w:p w14:paraId="247F4955" w14:textId="77777777" w:rsidR="002E1DF2" w:rsidRPr="00D7206A" w:rsidRDefault="002E1DF2" w:rsidP="006D4804">
            <w:pPr>
              <w:cnfStyle w:val="000000100000" w:firstRow="0" w:lastRow="0" w:firstColumn="0" w:lastColumn="0" w:oddVBand="0" w:evenVBand="0" w:oddHBand="1" w:evenHBand="0" w:firstRowFirstColumn="0" w:firstRowLastColumn="0" w:lastRowFirstColumn="0" w:lastRowLastColumn="0"/>
              <w:rPr>
                <w:rFonts w:ascii="Aptos" w:hAnsi="Aptos"/>
              </w:rPr>
            </w:pPr>
            <w:r w:rsidRPr="00D7206A">
              <w:rPr>
                <w:rFonts w:ascii="Aptos" w:hAnsi="Aptos"/>
              </w:rPr>
              <w:t>100%</w:t>
            </w:r>
          </w:p>
        </w:tc>
      </w:tr>
    </w:tbl>
    <w:p w14:paraId="56D53BCB" w14:textId="77777777" w:rsidR="006D4804" w:rsidRPr="00D7206A" w:rsidRDefault="006D4804" w:rsidP="006D4804">
      <w:pPr>
        <w:rPr>
          <w:rFonts w:ascii="Aptos" w:hAnsi="Aptos"/>
        </w:rPr>
      </w:pPr>
    </w:p>
    <w:p w14:paraId="4D63AF57" w14:textId="77777777" w:rsidR="002E1DF2" w:rsidRPr="00D7206A" w:rsidRDefault="002E1DF2" w:rsidP="006D4804">
      <w:pPr>
        <w:rPr>
          <w:rFonts w:ascii="Aptos" w:hAnsi="Aptos"/>
        </w:rPr>
      </w:pPr>
      <w:r w:rsidRPr="00D7206A">
        <w:rPr>
          <w:rFonts w:ascii="Aptos" w:hAnsi="Aptos"/>
        </w:rPr>
        <w:t xml:space="preserve">The student can claim childcare costs incurred with any registered Childcare Provider. This means they must be registered with the </w:t>
      </w:r>
      <w:r w:rsidRPr="00D7206A">
        <w:rPr>
          <w:rFonts w:ascii="Aptos" w:hAnsi="Aptos"/>
          <w:b/>
          <w:bCs/>
        </w:rPr>
        <w:t>Care Inspectorate</w:t>
      </w:r>
      <w:r w:rsidRPr="00D7206A">
        <w:rPr>
          <w:rFonts w:ascii="Aptos" w:hAnsi="Aptos"/>
        </w:rPr>
        <w:t xml:space="preserve">. </w:t>
      </w:r>
    </w:p>
    <w:p w14:paraId="044A7939" w14:textId="2420F89C" w:rsidR="006D4804" w:rsidRPr="00D7206A" w:rsidRDefault="002E1DF2" w:rsidP="002E1DF2">
      <w:pPr>
        <w:rPr>
          <w:rFonts w:ascii="Aptos" w:hAnsi="Aptos"/>
        </w:rPr>
      </w:pPr>
      <w:r w:rsidRPr="00D7206A">
        <w:rPr>
          <w:rFonts w:ascii="Aptos" w:hAnsi="Aptos"/>
        </w:rPr>
        <w:t>The rates charged by Childcare Providers can vary. As the Childcare Fund is a cash</w:t>
      </w:r>
      <w:r w:rsidR="00231686" w:rsidRPr="00D7206A">
        <w:rPr>
          <w:rFonts w:ascii="Aptos" w:hAnsi="Aptos"/>
        </w:rPr>
        <w:t xml:space="preserve"> </w:t>
      </w:r>
      <w:r w:rsidRPr="00D7206A">
        <w:rPr>
          <w:rFonts w:ascii="Aptos" w:hAnsi="Aptos"/>
        </w:rPr>
        <w:t>limited</w:t>
      </w:r>
      <w:r w:rsidR="00231686" w:rsidRPr="00D7206A">
        <w:rPr>
          <w:rFonts w:ascii="Aptos" w:hAnsi="Aptos"/>
        </w:rPr>
        <w:t xml:space="preserve"> </w:t>
      </w:r>
      <w:r w:rsidRPr="00D7206A">
        <w:rPr>
          <w:rFonts w:ascii="Aptos" w:hAnsi="Aptos"/>
        </w:rPr>
        <w:t>fund, the college has fee caps. If the chosen Childcare Provider charges more than the cap, the college will only award funding up to the cap. Any additional balance still due is the responsibility of the student.</w:t>
      </w:r>
    </w:p>
    <w:p w14:paraId="1FEE44A7" w14:textId="77777777" w:rsidR="00E579E8" w:rsidRPr="00D7206A" w:rsidRDefault="00E579E8" w:rsidP="002E1DF2">
      <w:pPr>
        <w:rPr>
          <w:rFonts w:ascii="Aptos" w:hAnsi="Aptos"/>
        </w:rPr>
      </w:pPr>
    </w:p>
    <w:tbl>
      <w:tblPr>
        <w:tblStyle w:val="GridTable4-Accent1"/>
        <w:tblW w:w="0" w:type="auto"/>
        <w:tblLook w:val="04A0" w:firstRow="1" w:lastRow="0" w:firstColumn="1" w:lastColumn="0" w:noHBand="0" w:noVBand="1"/>
      </w:tblPr>
      <w:tblGrid>
        <w:gridCol w:w="2490"/>
        <w:gridCol w:w="2289"/>
        <w:gridCol w:w="2556"/>
      </w:tblGrid>
      <w:tr w:rsidR="002E1DF2" w:rsidRPr="00D7206A" w14:paraId="4346006C" w14:textId="77777777" w:rsidTr="002316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0" w:type="dxa"/>
          </w:tcPr>
          <w:p w14:paraId="3819204D" w14:textId="77777777" w:rsidR="002E1DF2" w:rsidRPr="00D7206A" w:rsidRDefault="002E1DF2" w:rsidP="002E1DF2">
            <w:pPr>
              <w:contextualSpacing/>
              <w:rPr>
                <w:rFonts w:ascii="Aptos" w:hAnsi="Aptos"/>
                <w:b w:val="0"/>
                <w:color w:val="FFFFFF" w:themeColor="background2"/>
              </w:rPr>
            </w:pPr>
            <w:r w:rsidRPr="00D7206A">
              <w:rPr>
                <w:rFonts w:ascii="Aptos" w:hAnsi="Aptos"/>
                <w:color w:val="FFFFFF" w:themeColor="background2"/>
              </w:rPr>
              <w:t>Type of Childcare Provision</w:t>
            </w:r>
          </w:p>
        </w:tc>
        <w:tc>
          <w:tcPr>
            <w:tcW w:w="2289" w:type="dxa"/>
          </w:tcPr>
          <w:p w14:paraId="36F90456" w14:textId="77777777" w:rsidR="002E1DF2" w:rsidRPr="00D7206A" w:rsidRDefault="002E1DF2" w:rsidP="002E1DF2">
            <w:pPr>
              <w:contextualSpacing/>
              <w:cnfStyle w:val="100000000000" w:firstRow="1" w:lastRow="0" w:firstColumn="0" w:lastColumn="0" w:oddVBand="0" w:evenVBand="0" w:oddHBand="0" w:evenHBand="0" w:firstRowFirstColumn="0" w:firstRowLastColumn="0" w:lastRowFirstColumn="0" w:lastRowLastColumn="0"/>
              <w:rPr>
                <w:rFonts w:ascii="Aptos" w:hAnsi="Aptos"/>
                <w:b w:val="0"/>
                <w:color w:val="FFFFFF" w:themeColor="background2"/>
              </w:rPr>
            </w:pPr>
            <w:r w:rsidRPr="00D7206A">
              <w:rPr>
                <w:rFonts w:ascii="Aptos" w:hAnsi="Aptos"/>
                <w:color w:val="FFFFFF" w:themeColor="background2"/>
              </w:rPr>
              <w:t>Provider Fee Type</w:t>
            </w:r>
          </w:p>
        </w:tc>
        <w:tc>
          <w:tcPr>
            <w:tcW w:w="2556" w:type="dxa"/>
          </w:tcPr>
          <w:p w14:paraId="0A283355" w14:textId="77777777" w:rsidR="002E1DF2" w:rsidRPr="00D7206A" w:rsidRDefault="002E1DF2" w:rsidP="002E1DF2">
            <w:pPr>
              <w:contextualSpacing/>
              <w:cnfStyle w:val="100000000000" w:firstRow="1" w:lastRow="0" w:firstColumn="0" w:lastColumn="0" w:oddVBand="0" w:evenVBand="0" w:oddHBand="0" w:evenHBand="0" w:firstRowFirstColumn="0" w:firstRowLastColumn="0" w:lastRowFirstColumn="0" w:lastRowLastColumn="0"/>
              <w:rPr>
                <w:rFonts w:ascii="Aptos" w:hAnsi="Aptos"/>
                <w:b w:val="0"/>
                <w:color w:val="FFFFFF" w:themeColor="background2"/>
              </w:rPr>
            </w:pPr>
            <w:r w:rsidRPr="00D7206A">
              <w:rPr>
                <w:rFonts w:ascii="Aptos" w:hAnsi="Aptos"/>
                <w:color w:val="FFFFFF" w:themeColor="background2"/>
              </w:rPr>
              <w:t>Maximum Fee Cap</w:t>
            </w:r>
          </w:p>
        </w:tc>
      </w:tr>
      <w:tr w:rsidR="002E1DF2" w:rsidRPr="00D7206A" w14:paraId="75E46861" w14:textId="77777777" w:rsidTr="00231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0" w:type="dxa"/>
          </w:tcPr>
          <w:p w14:paraId="6F8B0014" w14:textId="77777777" w:rsidR="002E1DF2" w:rsidRPr="00D7206A" w:rsidRDefault="002E1DF2" w:rsidP="002E1DF2">
            <w:pPr>
              <w:contextualSpacing/>
              <w:rPr>
                <w:rFonts w:ascii="Aptos" w:hAnsi="Aptos"/>
              </w:rPr>
            </w:pPr>
            <w:r w:rsidRPr="00D7206A">
              <w:rPr>
                <w:rFonts w:ascii="Aptos" w:hAnsi="Aptos"/>
              </w:rPr>
              <w:t>Childminder</w:t>
            </w:r>
          </w:p>
        </w:tc>
        <w:tc>
          <w:tcPr>
            <w:tcW w:w="2289" w:type="dxa"/>
          </w:tcPr>
          <w:p w14:paraId="428EFF18" w14:textId="77777777" w:rsidR="002E1DF2" w:rsidRPr="00D7206A" w:rsidRDefault="002E1DF2" w:rsidP="002E1DF2">
            <w:pPr>
              <w:contextualSpacing/>
              <w:cnfStyle w:val="000000100000" w:firstRow="0" w:lastRow="0" w:firstColumn="0" w:lastColumn="0" w:oddVBand="0" w:evenVBand="0" w:oddHBand="1" w:evenHBand="0" w:firstRowFirstColumn="0" w:firstRowLastColumn="0" w:lastRowFirstColumn="0" w:lastRowLastColumn="0"/>
              <w:rPr>
                <w:rFonts w:ascii="Aptos" w:hAnsi="Aptos"/>
              </w:rPr>
            </w:pPr>
            <w:r w:rsidRPr="00D7206A">
              <w:rPr>
                <w:rFonts w:ascii="Aptos" w:hAnsi="Aptos"/>
              </w:rPr>
              <w:t>Hourly Rate</w:t>
            </w:r>
          </w:p>
        </w:tc>
        <w:tc>
          <w:tcPr>
            <w:tcW w:w="2556" w:type="dxa"/>
          </w:tcPr>
          <w:p w14:paraId="02DD1111" w14:textId="50A5ACEF" w:rsidR="002E1DF2" w:rsidRPr="00D7206A" w:rsidRDefault="002E1DF2" w:rsidP="00231686">
            <w:pPr>
              <w:contextualSpacing/>
              <w:cnfStyle w:val="000000100000" w:firstRow="0" w:lastRow="0" w:firstColumn="0" w:lastColumn="0" w:oddVBand="0" w:evenVBand="0" w:oddHBand="1" w:evenHBand="0" w:firstRowFirstColumn="0" w:firstRowLastColumn="0" w:lastRowFirstColumn="0" w:lastRowLastColumn="0"/>
              <w:rPr>
                <w:rFonts w:ascii="Aptos" w:hAnsi="Aptos"/>
              </w:rPr>
            </w:pPr>
            <w:r w:rsidRPr="00D7206A">
              <w:rPr>
                <w:rFonts w:ascii="Aptos" w:hAnsi="Aptos"/>
              </w:rPr>
              <w:t>£</w:t>
            </w:r>
            <w:r w:rsidR="00231686" w:rsidRPr="00D7206A">
              <w:rPr>
                <w:rFonts w:ascii="Aptos" w:hAnsi="Aptos"/>
              </w:rPr>
              <w:t>7.00</w:t>
            </w:r>
            <w:r w:rsidRPr="00D7206A">
              <w:rPr>
                <w:rFonts w:ascii="Aptos" w:hAnsi="Aptos"/>
              </w:rPr>
              <w:t>/hour</w:t>
            </w:r>
          </w:p>
        </w:tc>
      </w:tr>
      <w:tr w:rsidR="002E1DF2" w:rsidRPr="00D7206A" w14:paraId="1C893C71" w14:textId="77777777" w:rsidTr="00231686">
        <w:tc>
          <w:tcPr>
            <w:cnfStyle w:val="001000000000" w:firstRow="0" w:lastRow="0" w:firstColumn="1" w:lastColumn="0" w:oddVBand="0" w:evenVBand="0" w:oddHBand="0" w:evenHBand="0" w:firstRowFirstColumn="0" w:firstRowLastColumn="0" w:lastRowFirstColumn="0" w:lastRowLastColumn="0"/>
            <w:tcW w:w="2490" w:type="dxa"/>
          </w:tcPr>
          <w:p w14:paraId="56853BB6" w14:textId="77777777" w:rsidR="002E1DF2" w:rsidRPr="00D7206A" w:rsidRDefault="002E1DF2" w:rsidP="002E1DF2">
            <w:pPr>
              <w:contextualSpacing/>
              <w:rPr>
                <w:rFonts w:ascii="Aptos" w:hAnsi="Aptos"/>
              </w:rPr>
            </w:pPr>
            <w:r w:rsidRPr="00D7206A">
              <w:rPr>
                <w:rFonts w:ascii="Aptos" w:hAnsi="Aptos"/>
              </w:rPr>
              <w:t>Nursery</w:t>
            </w:r>
          </w:p>
        </w:tc>
        <w:tc>
          <w:tcPr>
            <w:tcW w:w="2289" w:type="dxa"/>
          </w:tcPr>
          <w:p w14:paraId="5050AA3B" w14:textId="77777777" w:rsidR="002E1DF2" w:rsidRPr="00D7206A" w:rsidRDefault="002E1DF2" w:rsidP="002E1DF2">
            <w:pPr>
              <w:contextualSpacing/>
              <w:cnfStyle w:val="000000000000" w:firstRow="0" w:lastRow="0" w:firstColumn="0" w:lastColumn="0" w:oddVBand="0" w:evenVBand="0" w:oddHBand="0" w:evenHBand="0" w:firstRowFirstColumn="0" w:firstRowLastColumn="0" w:lastRowFirstColumn="0" w:lastRowLastColumn="0"/>
              <w:rPr>
                <w:rFonts w:ascii="Aptos" w:hAnsi="Aptos"/>
              </w:rPr>
            </w:pPr>
            <w:r w:rsidRPr="00D7206A">
              <w:rPr>
                <w:rFonts w:ascii="Aptos" w:hAnsi="Aptos"/>
              </w:rPr>
              <w:t>Day Session</w:t>
            </w:r>
          </w:p>
        </w:tc>
        <w:tc>
          <w:tcPr>
            <w:tcW w:w="2556" w:type="dxa"/>
          </w:tcPr>
          <w:p w14:paraId="419F6F9A" w14:textId="64E050B1" w:rsidR="002E1DF2" w:rsidRPr="00D7206A" w:rsidRDefault="002E1DF2" w:rsidP="00231686">
            <w:pPr>
              <w:contextualSpacing/>
              <w:cnfStyle w:val="000000000000" w:firstRow="0" w:lastRow="0" w:firstColumn="0" w:lastColumn="0" w:oddVBand="0" w:evenVBand="0" w:oddHBand="0" w:evenHBand="0" w:firstRowFirstColumn="0" w:firstRowLastColumn="0" w:lastRowFirstColumn="0" w:lastRowLastColumn="0"/>
              <w:rPr>
                <w:rFonts w:ascii="Aptos" w:hAnsi="Aptos"/>
              </w:rPr>
            </w:pPr>
            <w:r w:rsidRPr="00D7206A">
              <w:rPr>
                <w:rFonts w:ascii="Aptos" w:hAnsi="Aptos"/>
              </w:rPr>
              <w:t>£</w:t>
            </w:r>
            <w:r w:rsidR="00231686" w:rsidRPr="00D7206A">
              <w:rPr>
                <w:rFonts w:ascii="Aptos" w:hAnsi="Aptos"/>
              </w:rPr>
              <w:t>6</w:t>
            </w:r>
            <w:r w:rsidR="00D7206A" w:rsidRPr="00D7206A">
              <w:rPr>
                <w:rFonts w:ascii="Aptos" w:hAnsi="Aptos"/>
              </w:rPr>
              <w:t>5</w:t>
            </w:r>
            <w:r w:rsidRPr="00D7206A">
              <w:rPr>
                <w:rFonts w:ascii="Aptos" w:hAnsi="Aptos"/>
              </w:rPr>
              <w:t>.00/session</w:t>
            </w:r>
          </w:p>
        </w:tc>
      </w:tr>
      <w:tr w:rsidR="002E1DF2" w:rsidRPr="00D7206A" w14:paraId="7AA24664" w14:textId="77777777" w:rsidTr="00231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0" w:type="dxa"/>
          </w:tcPr>
          <w:p w14:paraId="57E07831" w14:textId="77777777" w:rsidR="002E1DF2" w:rsidRPr="00D7206A" w:rsidRDefault="002E1DF2" w:rsidP="002E1DF2">
            <w:pPr>
              <w:contextualSpacing/>
              <w:rPr>
                <w:rFonts w:ascii="Aptos" w:hAnsi="Aptos"/>
              </w:rPr>
            </w:pPr>
            <w:r w:rsidRPr="00D7206A">
              <w:rPr>
                <w:rFonts w:ascii="Aptos" w:hAnsi="Aptos"/>
              </w:rPr>
              <w:t>Nursery</w:t>
            </w:r>
          </w:p>
        </w:tc>
        <w:tc>
          <w:tcPr>
            <w:tcW w:w="2289" w:type="dxa"/>
          </w:tcPr>
          <w:p w14:paraId="596FD208" w14:textId="77777777" w:rsidR="002E1DF2" w:rsidRPr="00D7206A" w:rsidRDefault="002E1DF2" w:rsidP="002E1DF2">
            <w:pPr>
              <w:contextualSpacing/>
              <w:cnfStyle w:val="000000100000" w:firstRow="0" w:lastRow="0" w:firstColumn="0" w:lastColumn="0" w:oddVBand="0" w:evenVBand="0" w:oddHBand="1" w:evenHBand="0" w:firstRowFirstColumn="0" w:firstRowLastColumn="0" w:lastRowFirstColumn="0" w:lastRowLastColumn="0"/>
              <w:rPr>
                <w:rFonts w:ascii="Aptos" w:hAnsi="Aptos"/>
              </w:rPr>
            </w:pPr>
            <w:r w:rsidRPr="00D7206A">
              <w:rPr>
                <w:rFonts w:ascii="Aptos" w:hAnsi="Aptos"/>
              </w:rPr>
              <w:t>Half Session</w:t>
            </w:r>
          </w:p>
        </w:tc>
        <w:tc>
          <w:tcPr>
            <w:tcW w:w="2556" w:type="dxa"/>
          </w:tcPr>
          <w:p w14:paraId="31D95BC4" w14:textId="5178539C" w:rsidR="002E1DF2" w:rsidRPr="00D7206A" w:rsidRDefault="002E1DF2" w:rsidP="00231686">
            <w:pPr>
              <w:contextualSpacing/>
              <w:cnfStyle w:val="000000100000" w:firstRow="0" w:lastRow="0" w:firstColumn="0" w:lastColumn="0" w:oddVBand="0" w:evenVBand="0" w:oddHBand="1" w:evenHBand="0" w:firstRowFirstColumn="0" w:firstRowLastColumn="0" w:lastRowFirstColumn="0" w:lastRowLastColumn="0"/>
              <w:rPr>
                <w:rFonts w:ascii="Aptos" w:hAnsi="Aptos"/>
              </w:rPr>
            </w:pPr>
            <w:r w:rsidRPr="00D7206A">
              <w:rPr>
                <w:rFonts w:ascii="Aptos" w:hAnsi="Aptos"/>
              </w:rPr>
              <w:t>£3</w:t>
            </w:r>
            <w:r w:rsidR="00D7206A" w:rsidRPr="00D7206A">
              <w:rPr>
                <w:rFonts w:ascii="Aptos" w:hAnsi="Aptos"/>
              </w:rPr>
              <w:t>8</w:t>
            </w:r>
            <w:r w:rsidRPr="00D7206A">
              <w:rPr>
                <w:rFonts w:ascii="Aptos" w:hAnsi="Aptos"/>
              </w:rPr>
              <w:t>.</w:t>
            </w:r>
            <w:r w:rsidR="00231686" w:rsidRPr="00D7206A">
              <w:rPr>
                <w:rFonts w:ascii="Aptos" w:hAnsi="Aptos"/>
              </w:rPr>
              <w:t>0</w:t>
            </w:r>
            <w:r w:rsidRPr="00D7206A">
              <w:rPr>
                <w:rFonts w:ascii="Aptos" w:hAnsi="Aptos"/>
              </w:rPr>
              <w:t>0/session</w:t>
            </w:r>
          </w:p>
        </w:tc>
      </w:tr>
      <w:tr w:rsidR="002E1DF2" w:rsidRPr="00D7206A" w14:paraId="06DB0AB7" w14:textId="77777777" w:rsidTr="00231686">
        <w:tc>
          <w:tcPr>
            <w:cnfStyle w:val="001000000000" w:firstRow="0" w:lastRow="0" w:firstColumn="1" w:lastColumn="0" w:oddVBand="0" w:evenVBand="0" w:oddHBand="0" w:evenHBand="0" w:firstRowFirstColumn="0" w:firstRowLastColumn="0" w:lastRowFirstColumn="0" w:lastRowLastColumn="0"/>
            <w:tcW w:w="2490" w:type="dxa"/>
          </w:tcPr>
          <w:p w14:paraId="3E736283" w14:textId="77777777" w:rsidR="002E1DF2" w:rsidRPr="00D7206A" w:rsidRDefault="002E1DF2" w:rsidP="002E1DF2">
            <w:pPr>
              <w:contextualSpacing/>
              <w:rPr>
                <w:rFonts w:ascii="Aptos" w:hAnsi="Aptos"/>
              </w:rPr>
            </w:pPr>
            <w:r w:rsidRPr="00D7206A">
              <w:rPr>
                <w:rFonts w:ascii="Aptos" w:hAnsi="Aptos"/>
              </w:rPr>
              <w:t>Before and After School Care (Non-Childminder)</w:t>
            </w:r>
          </w:p>
        </w:tc>
        <w:tc>
          <w:tcPr>
            <w:tcW w:w="2289" w:type="dxa"/>
          </w:tcPr>
          <w:p w14:paraId="6B9722EA" w14:textId="77777777" w:rsidR="002E1DF2" w:rsidRPr="00D7206A" w:rsidRDefault="002E1DF2" w:rsidP="002E1DF2">
            <w:pPr>
              <w:contextualSpacing/>
              <w:cnfStyle w:val="000000000000" w:firstRow="0" w:lastRow="0" w:firstColumn="0" w:lastColumn="0" w:oddVBand="0" w:evenVBand="0" w:oddHBand="0" w:evenHBand="0" w:firstRowFirstColumn="0" w:firstRowLastColumn="0" w:lastRowFirstColumn="0" w:lastRowLastColumn="0"/>
              <w:rPr>
                <w:rFonts w:ascii="Aptos" w:hAnsi="Aptos"/>
              </w:rPr>
            </w:pPr>
            <w:r w:rsidRPr="00D7206A">
              <w:rPr>
                <w:rFonts w:ascii="Aptos" w:hAnsi="Aptos"/>
              </w:rPr>
              <w:t>Breakfast Club</w:t>
            </w:r>
          </w:p>
        </w:tc>
        <w:tc>
          <w:tcPr>
            <w:tcW w:w="2556" w:type="dxa"/>
          </w:tcPr>
          <w:p w14:paraId="2023575B" w14:textId="410AA932" w:rsidR="002E1DF2" w:rsidRPr="00D7206A" w:rsidRDefault="002E1DF2" w:rsidP="00231686">
            <w:pPr>
              <w:contextualSpacing/>
              <w:cnfStyle w:val="000000000000" w:firstRow="0" w:lastRow="0" w:firstColumn="0" w:lastColumn="0" w:oddVBand="0" w:evenVBand="0" w:oddHBand="0" w:evenHBand="0" w:firstRowFirstColumn="0" w:firstRowLastColumn="0" w:lastRowFirstColumn="0" w:lastRowLastColumn="0"/>
              <w:rPr>
                <w:rFonts w:ascii="Aptos" w:hAnsi="Aptos"/>
              </w:rPr>
            </w:pPr>
            <w:r w:rsidRPr="00D7206A">
              <w:rPr>
                <w:rFonts w:ascii="Aptos" w:hAnsi="Aptos"/>
              </w:rPr>
              <w:t>£</w:t>
            </w:r>
            <w:r w:rsidR="00D7206A" w:rsidRPr="00D7206A">
              <w:rPr>
                <w:rFonts w:ascii="Aptos" w:hAnsi="Aptos"/>
              </w:rPr>
              <w:t>10.00</w:t>
            </w:r>
            <w:r w:rsidRPr="00D7206A">
              <w:rPr>
                <w:rFonts w:ascii="Aptos" w:hAnsi="Aptos"/>
              </w:rPr>
              <w:t>/session</w:t>
            </w:r>
          </w:p>
        </w:tc>
      </w:tr>
      <w:tr w:rsidR="002E1DF2" w:rsidRPr="00D7206A" w14:paraId="50FC4A87" w14:textId="77777777" w:rsidTr="00231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0" w:type="dxa"/>
          </w:tcPr>
          <w:p w14:paraId="1C36BAFE" w14:textId="77777777" w:rsidR="002E1DF2" w:rsidRPr="00D7206A" w:rsidRDefault="002E1DF2" w:rsidP="002E1DF2">
            <w:pPr>
              <w:contextualSpacing/>
              <w:rPr>
                <w:rFonts w:ascii="Aptos" w:hAnsi="Aptos"/>
              </w:rPr>
            </w:pPr>
            <w:r w:rsidRPr="00D7206A">
              <w:rPr>
                <w:rFonts w:ascii="Aptos" w:hAnsi="Aptos"/>
              </w:rPr>
              <w:t>Before and After School Care (Non-Childminder)</w:t>
            </w:r>
          </w:p>
        </w:tc>
        <w:tc>
          <w:tcPr>
            <w:tcW w:w="2289" w:type="dxa"/>
          </w:tcPr>
          <w:p w14:paraId="7AB051B3" w14:textId="77777777" w:rsidR="002E1DF2" w:rsidRPr="00D7206A" w:rsidRDefault="002E1DF2" w:rsidP="002E1DF2">
            <w:pPr>
              <w:contextualSpacing/>
              <w:cnfStyle w:val="000000100000" w:firstRow="0" w:lastRow="0" w:firstColumn="0" w:lastColumn="0" w:oddVBand="0" w:evenVBand="0" w:oddHBand="1" w:evenHBand="0" w:firstRowFirstColumn="0" w:firstRowLastColumn="0" w:lastRowFirstColumn="0" w:lastRowLastColumn="0"/>
              <w:rPr>
                <w:rFonts w:ascii="Aptos" w:hAnsi="Aptos"/>
              </w:rPr>
            </w:pPr>
            <w:r w:rsidRPr="00D7206A">
              <w:rPr>
                <w:rFonts w:ascii="Aptos" w:hAnsi="Aptos"/>
              </w:rPr>
              <w:t>After-School Club</w:t>
            </w:r>
          </w:p>
        </w:tc>
        <w:tc>
          <w:tcPr>
            <w:tcW w:w="2556" w:type="dxa"/>
          </w:tcPr>
          <w:p w14:paraId="593B3F67" w14:textId="5A69BFED" w:rsidR="002E1DF2" w:rsidRPr="00D7206A" w:rsidRDefault="002E1DF2" w:rsidP="00231686">
            <w:pPr>
              <w:contextualSpacing/>
              <w:cnfStyle w:val="000000100000" w:firstRow="0" w:lastRow="0" w:firstColumn="0" w:lastColumn="0" w:oddVBand="0" w:evenVBand="0" w:oddHBand="1" w:evenHBand="0" w:firstRowFirstColumn="0" w:firstRowLastColumn="0" w:lastRowFirstColumn="0" w:lastRowLastColumn="0"/>
              <w:rPr>
                <w:rFonts w:ascii="Aptos" w:hAnsi="Aptos"/>
              </w:rPr>
            </w:pPr>
            <w:r w:rsidRPr="00D7206A">
              <w:rPr>
                <w:rFonts w:ascii="Aptos" w:hAnsi="Aptos"/>
              </w:rPr>
              <w:t>£1</w:t>
            </w:r>
            <w:r w:rsidR="00D7206A" w:rsidRPr="00D7206A">
              <w:rPr>
                <w:rFonts w:ascii="Aptos" w:hAnsi="Aptos"/>
              </w:rPr>
              <w:t>8.00</w:t>
            </w:r>
            <w:r w:rsidRPr="00D7206A">
              <w:rPr>
                <w:rFonts w:ascii="Aptos" w:hAnsi="Aptos"/>
              </w:rPr>
              <w:t>/session</w:t>
            </w:r>
          </w:p>
        </w:tc>
      </w:tr>
      <w:tr w:rsidR="00231686" w:rsidRPr="00D7206A" w14:paraId="428E42EE" w14:textId="77777777" w:rsidTr="00231686">
        <w:tc>
          <w:tcPr>
            <w:cnfStyle w:val="001000000000" w:firstRow="0" w:lastRow="0" w:firstColumn="1" w:lastColumn="0" w:oddVBand="0" w:evenVBand="0" w:oddHBand="0" w:evenHBand="0" w:firstRowFirstColumn="0" w:firstRowLastColumn="0" w:lastRowFirstColumn="0" w:lastRowLastColumn="0"/>
            <w:tcW w:w="2490" w:type="dxa"/>
          </w:tcPr>
          <w:p w14:paraId="21B50D62" w14:textId="2F8BF687" w:rsidR="00231686" w:rsidRPr="00D7206A" w:rsidRDefault="00231686" w:rsidP="00231686">
            <w:pPr>
              <w:contextualSpacing/>
              <w:rPr>
                <w:rFonts w:ascii="Aptos" w:hAnsi="Aptos"/>
              </w:rPr>
            </w:pPr>
            <w:r w:rsidRPr="00D7206A">
              <w:rPr>
                <w:rFonts w:ascii="Aptos" w:hAnsi="Aptos"/>
              </w:rPr>
              <w:t>Out of School Session</w:t>
            </w:r>
          </w:p>
        </w:tc>
        <w:tc>
          <w:tcPr>
            <w:tcW w:w="2289" w:type="dxa"/>
          </w:tcPr>
          <w:p w14:paraId="39CF2AEA" w14:textId="5E47271A" w:rsidR="00231686" w:rsidRPr="00D7206A" w:rsidRDefault="00231686" w:rsidP="00231686">
            <w:pPr>
              <w:contextualSpacing/>
              <w:cnfStyle w:val="000000000000" w:firstRow="0" w:lastRow="0" w:firstColumn="0" w:lastColumn="0" w:oddVBand="0" w:evenVBand="0" w:oddHBand="0" w:evenHBand="0" w:firstRowFirstColumn="0" w:firstRowLastColumn="0" w:lastRowFirstColumn="0" w:lastRowLastColumn="0"/>
              <w:rPr>
                <w:rFonts w:ascii="Aptos" w:hAnsi="Aptos"/>
              </w:rPr>
            </w:pPr>
            <w:r w:rsidRPr="00D7206A">
              <w:rPr>
                <w:rFonts w:ascii="Aptos" w:hAnsi="Aptos"/>
              </w:rPr>
              <w:t>Holiday Club</w:t>
            </w:r>
          </w:p>
        </w:tc>
        <w:tc>
          <w:tcPr>
            <w:tcW w:w="2556" w:type="dxa"/>
          </w:tcPr>
          <w:p w14:paraId="5BAE2354" w14:textId="04BD58C1" w:rsidR="00231686" w:rsidRPr="00D7206A" w:rsidRDefault="00231686" w:rsidP="00231686">
            <w:pPr>
              <w:contextualSpacing/>
              <w:cnfStyle w:val="000000000000" w:firstRow="0" w:lastRow="0" w:firstColumn="0" w:lastColumn="0" w:oddVBand="0" w:evenVBand="0" w:oddHBand="0" w:evenHBand="0" w:firstRowFirstColumn="0" w:firstRowLastColumn="0" w:lastRowFirstColumn="0" w:lastRowLastColumn="0"/>
              <w:rPr>
                <w:rFonts w:ascii="Aptos" w:hAnsi="Aptos"/>
              </w:rPr>
            </w:pPr>
            <w:r w:rsidRPr="00D7206A">
              <w:rPr>
                <w:rFonts w:ascii="Aptos" w:hAnsi="Aptos"/>
              </w:rPr>
              <w:t>£36.00/session</w:t>
            </w:r>
          </w:p>
        </w:tc>
      </w:tr>
    </w:tbl>
    <w:p w14:paraId="79C3FD66" w14:textId="77777777" w:rsidR="002E1DF2" w:rsidRPr="00D7206A" w:rsidRDefault="002E1DF2" w:rsidP="002E1DF2">
      <w:pPr>
        <w:contextualSpacing/>
        <w:rPr>
          <w:rFonts w:ascii="Aptos" w:hAnsi="Aptos"/>
        </w:rPr>
      </w:pPr>
    </w:p>
    <w:p w14:paraId="6EDD2285" w14:textId="77777777" w:rsidR="002E1DF2" w:rsidRPr="00D7206A" w:rsidRDefault="002E1DF2" w:rsidP="002E1DF2">
      <w:pPr>
        <w:pStyle w:val="Heading1"/>
        <w:rPr>
          <w:rFonts w:ascii="Aptos" w:hAnsi="Aptos"/>
        </w:rPr>
      </w:pPr>
      <w:r w:rsidRPr="00D7206A">
        <w:rPr>
          <w:rFonts w:ascii="Aptos" w:hAnsi="Aptos"/>
        </w:rPr>
        <w:t>What about funded early learning and childcare?</w:t>
      </w:r>
    </w:p>
    <w:p w14:paraId="34823AE2" w14:textId="77777777" w:rsidR="002E1DF2" w:rsidRPr="00D7206A" w:rsidRDefault="002E1DF2" w:rsidP="002E1DF2">
      <w:pPr>
        <w:spacing w:line="259" w:lineRule="auto"/>
        <w:rPr>
          <w:rFonts w:ascii="Aptos" w:hAnsi="Aptos"/>
        </w:rPr>
      </w:pPr>
      <w:r w:rsidRPr="00D7206A">
        <w:rPr>
          <w:rFonts w:ascii="Aptos" w:hAnsi="Aptos"/>
        </w:rPr>
        <w:t xml:space="preserve">If your child is eligible to receive free childcare hours funded by the Scottish </w:t>
      </w:r>
      <w:proofErr w:type="gramStart"/>
      <w:r w:rsidRPr="00D7206A">
        <w:rPr>
          <w:rFonts w:ascii="Aptos" w:hAnsi="Aptos"/>
        </w:rPr>
        <w:t>Government</w:t>
      </w:r>
      <w:proofErr w:type="gramEnd"/>
      <w:r w:rsidRPr="00D7206A">
        <w:rPr>
          <w:rFonts w:ascii="Aptos" w:hAnsi="Aptos"/>
        </w:rPr>
        <w:t xml:space="preserve"> you should be making use of this before seeking assistance from the College. You can </w:t>
      </w:r>
      <w:hyperlink r:id="rId9" w:history="1">
        <w:r w:rsidR="00E46CF7" w:rsidRPr="00D7206A">
          <w:rPr>
            <w:rStyle w:val="Hyperlink"/>
            <w:rFonts w:ascii="Aptos" w:hAnsi="Aptos"/>
          </w:rPr>
          <w:t>visit the government website</w:t>
        </w:r>
      </w:hyperlink>
      <w:r w:rsidRPr="00D7206A">
        <w:rPr>
          <w:rFonts w:ascii="Aptos" w:hAnsi="Aptos"/>
        </w:rPr>
        <w:t xml:space="preserve"> to find more information about free hours.</w:t>
      </w:r>
    </w:p>
    <w:p w14:paraId="0319BF9B" w14:textId="79AFAFBE" w:rsidR="002E1DF2" w:rsidRPr="00D7206A" w:rsidRDefault="002E1DF2" w:rsidP="002E1DF2">
      <w:pPr>
        <w:spacing w:line="259" w:lineRule="auto"/>
        <w:rPr>
          <w:rFonts w:ascii="Aptos" w:hAnsi="Aptos"/>
        </w:rPr>
      </w:pPr>
      <w:r w:rsidRPr="00D7206A">
        <w:rPr>
          <w:rFonts w:ascii="Aptos" w:hAnsi="Aptos"/>
        </w:rPr>
        <w:t>If you are using a childcare provider who does not receive this funding</w:t>
      </w:r>
      <w:r w:rsidR="00D7206A" w:rsidRPr="00D7206A">
        <w:rPr>
          <w:rFonts w:ascii="Aptos" w:hAnsi="Aptos"/>
        </w:rPr>
        <w:t>,</w:t>
      </w:r>
      <w:r w:rsidR="006D4804" w:rsidRPr="00D7206A">
        <w:rPr>
          <w:rFonts w:ascii="Aptos" w:hAnsi="Aptos"/>
        </w:rPr>
        <w:t xml:space="preserve"> or you are not claiming this funding when you are eligible for it,</w:t>
      </w:r>
      <w:r w:rsidRPr="00D7206A">
        <w:rPr>
          <w:rFonts w:ascii="Aptos" w:hAnsi="Aptos"/>
        </w:rPr>
        <w:t xml:space="preserve"> a deduction of 6 hours will be made per day to your </w:t>
      </w:r>
      <w:r w:rsidR="00D7206A" w:rsidRPr="00D7206A">
        <w:rPr>
          <w:rFonts w:ascii="Aptos" w:hAnsi="Aptos"/>
        </w:rPr>
        <w:t>award,</w:t>
      </w:r>
      <w:r w:rsidRPr="00D7206A">
        <w:rPr>
          <w:rFonts w:ascii="Aptos" w:hAnsi="Aptos"/>
        </w:rPr>
        <w:t xml:space="preserve"> and you will be expected to pay this to your provider directly.</w:t>
      </w:r>
    </w:p>
    <w:p w14:paraId="0DD84613" w14:textId="10AF5F97" w:rsidR="002E1DF2" w:rsidRPr="00D7206A" w:rsidRDefault="002E1DF2" w:rsidP="002E1DF2">
      <w:pPr>
        <w:spacing w:line="259" w:lineRule="auto"/>
        <w:rPr>
          <w:rFonts w:ascii="Aptos" w:hAnsi="Aptos"/>
        </w:rPr>
      </w:pPr>
      <w:r w:rsidRPr="00D7206A">
        <w:rPr>
          <w:rFonts w:ascii="Aptos" w:hAnsi="Aptos"/>
        </w:rPr>
        <w:t xml:space="preserve">If your child is attending a nursery for their free hours and you are additionally using a childminder/another </w:t>
      </w:r>
      <w:r w:rsidR="00D7206A" w:rsidRPr="00D7206A">
        <w:rPr>
          <w:rFonts w:ascii="Aptos" w:hAnsi="Aptos"/>
        </w:rPr>
        <w:t>provider,</w:t>
      </w:r>
      <w:r w:rsidRPr="00D7206A">
        <w:rPr>
          <w:rFonts w:ascii="Aptos" w:hAnsi="Aptos"/>
        </w:rPr>
        <w:t xml:space="preserve"> please note we are unable to pay them for the time your child is at nursery. If it is in your </w:t>
      </w:r>
      <w:r w:rsidR="00D7206A" w:rsidRPr="00D7206A">
        <w:rPr>
          <w:rFonts w:ascii="Aptos" w:hAnsi="Aptos"/>
        </w:rPr>
        <w:t>contract,</w:t>
      </w:r>
      <w:r w:rsidRPr="00D7206A">
        <w:rPr>
          <w:rFonts w:ascii="Aptos" w:hAnsi="Aptos"/>
        </w:rPr>
        <w:t xml:space="preserve"> you have signed with your provider that they would charge for this time you will be responsible to pay these costs directly to your provider.</w:t>
      </w:r>
    </w:p>
    <w:p w14:paraId="3D04F330" w14:textId="0652EFB8" w:rsidR="002E1DF2" w:rsidRPr="00D7206A" w:rsidRDefault="002E1DF2" w:rsidP="002E1DF2">
      <w:pPr>
        <w:spacing w:line="259" w:lineRule="auto"/>
        <w:rPr>
          <w:rFonts w:ascii="Aptos" w:hAnsi="Aptos"/>
          <w:b/>
        </w:rPr>
      </w:pPr>
      <w:r w:rsidRPr="00D7206A">
        <w:rPr>
          <w:rFonts w:ascii="Aptos" w:hAnsi="Aptos"/>
          <w:b/>
        </w:rPr>
        <w:t xml:space="preserve">Please note that all children </w:t>
      </w:r>
      <w:r w:rsidR="00D7206A" w:rsidRPr="00D7206A">
        <w:rPr>
          <w:rFonts w:ascii="Aptos" w:hAnsi="Aptos"/>
          <w:b/>
        </w:rPr>
        <w:t>aged</w:t>
      </w:r>
      <w:r w:rsidRPr="00D7206A">
        <w:rPr>
          <w:rFonts w:ascii="Aptos" w:hAnsi="Aptos"/>
          <w:b/>
        </w:rPr>
        <w:t xml:space="preserve"> 3 to 5 and some 2-year-olds a</w:t>
      </w:r>
      <w:r w:rsidR="00E579E8" w:rsidRPr="00D7206A">
        <w:rPr>
          <w:rFonts w:ascii="Aptos" w:hAnsi="Aptos"/>
          <w:b/>
        </w:rPr>
        <w:t>re eligible for free childcare.</w:t>
      </w:r>
    </w:p>
    <w:p w14:paraId="1D166A74" w14:textId="77777777" w:rsidR="00D7206A" w:rsidRPr="00D7206A" w:rsidRDefault="00D7206A" w:rsidP="002E1DF2">
      <w:pPr>
        <w:spacing w:line="259" w:lineRule="auto"/>
        <w:rPr>
          <w:rFonts w:ascii="Aptos" w:hAnsi="Aptos"/>
          <w:b/>
        </w:rPr>
      </w:pPr>
    </w:p>
    <w:p w14:paraId="01F25055" w14:textId="77777777" w:rsidR="002E1DF2" w:rsidRPr="00D7206A" w:rsidRDefault="006D4804" w:rsidP="006D4804">
      <w:pPr>
        <w:pStyle w:val="Heading1"/>
        <w:rPr>
          <w:rFonts w:ascii="Aptos" w:hAnsi="Aptos"/>
        </w:rPr>
      </w:pPr>
      <w:r w:rsidRPr="00D7206A">
        <w:rPr>
          <w:rFonts w:ascii="Aptos" w:hAnsi="Aptos"/>
        </w:rPr>
        <w:lastRenderedPageBreak/>
        <w:t>Is there any childcare the college will not fund?</w:t>
      </w:r>
    </w:p>
    <w:p w14:paraId="480082D4" w14:textId="77777777" w:rsidR="006D4804" w:rsidRPr="00D7206A" w:rsidRDefault="006D4804" w:rsidP="006D4804">
      <w:pPr>
        <w:pStyle w:val="Heading2"/>
        <w:rPr>
          <w:rFonts w:ascii="Aptos" w:hAnsi="Aptos"/>
        </w:rPr>
      </w:pPr>
      <w:r w:rsidRPr="00D7206A">
        <w:rPr>
          <w:rFonts w:ascii="Aptos" w:hAnsi="Aptos"/>
        </w:rPr>
        <w:t>Unregistered Childcare Providers</w:t>
      </w:r>
    </w:p>
    <w:p w14:paraId="56A7D077" w14:textId="77777777" w:rsidR="006D4804" w:rsidRPr="00D7206A" w:rsidRDefault="006D4804" w:rsidP="006D4804">
      <w:pPr>
        <w:rPr>
          <w:rFonts w:ascii="Aptos" w:hAnsi="Aptos"/>
        </w:rPr>
      </w:pPr>
      <w:r w:rsidRPr="00D7206A">
        <w:rPr>
          <w:rFonts w:ascii="Aptos" w:hAnsi="Aptos"/>
        </w:rPr>
        <w:t>The college will only fund childcare which is provided by a childcare provider who is registered with the Care Inspectorate. Informal childcare, or childcare provided by family members is not fundable.</w:t>
      </w:r>
    </w:p>
    <w:p w14:paraId="7EF540B7" w14:textId="77777777" w:rsidR="006D4804" w:rsidRPr="00D7206A" w:rsidRDefault="006D4804" w:rsidP="006D4804">
      <w:pPr>
        <w:pStyle w:val="Heading2"/>
        <w:rPr>
          <w:rFonts w:ascii="Aptos" w:hAnsi="Aptos"/>
        </w:rPr>
      </w:pPr>
      <w:r w:rsidRPr="00D7206A">
        <w:rPr>
          <w:rFonts w:ascii="Aptos" w:hAnsi="Aptos"/>
        </w:rPr>
        <w:t>Holiday Periods</w:t>
      </w:r>
    </w:p>
    <w:p w14:paraId="21C0A45E" w14:textId="77777777" w:rsidR="006D4804" w:rsidRPr="00D7206A" w:rsidRDefault="006D4804" w:rsidP="006D4804">
      <w:pPr>
        <w:spacing w:line="259" w:lineRule="auto"/>
        <w:rPr>
          <w:rFonts w:ascii="Aptos" w:hAnsi="Aptos"/>
        </w:rPr>
      </w:pPr>
      <w:r w:rsidRPr="00D7206A">
        <w:rPr>
          <w:rFonts w:ascii="Aptos" w:hAnsi="Aptos"/>
        </w:rPr>
        <w:t xml:space="preserve">The College will not </w:t>
      </w:r>
      <w:proofErr w:type="gramStart"/>
      <w:r w:rsidRPr="00D7206A">
        <w:rPr>
          <w:rFonts w:ascii="Aptos" w:hAnsi="Aptos"/>
        </w:rPr>
        <w:t>provide assistance</w:t>
      </w:r>
      <w:proofErr w:type="gramEnd"/>
      <w:r w:rsidRPr="00D7206A">
        <w:rPr>
          <w:rFonts w:ascii="Aptos" w:hAnsi="Aptos"/>
        </w:rPr>
        <w:t xml:space="preserve"> with childcare costs during extended college holiday periods. The college holidays we are unable to cover this session are:</w:t>
      </w:r>
    </w:p>
    <w:p w14:paraId="766E7599" w14:textId="24BB7FC5" w:rsidR="006D4804" w:rsidRPr="00D7206A" w:rsidRDefault="00E93BBD" w:rsidP="006D4804">
      <w:pPr>
        <w:pStyle w:val="ListParagraph"/>
        <w:numPr>
          <w:ilvl w:val="0"/>
          <w:numId w:val="1"/>
        </w:numPr>
        <w:rPr>
          <w:rFonts w:ascii="Aptos" w:hAnsi="Aptos"/>
        </w:rPr>
      </w:pPr>
      <w:r w:rsidRPr="00D7206A">
        <w:rPr>
          <w:rFonts w:ascii="Aptos" w:hAnsi="Aptos"/>
        </w:rPr>
        <w:t>1</w:t>
      </w:r>
      <w:r w:rsidR="00D7206A" w:rsidRPr="00D7206A">
        <w:rPr>
          <w:rFonts w:ascii="Aptos" w:hAnsi="Aptos"/>
        </w:rPr>
        <w:t>3</w:t>
      </w:r>
      <w:r w:rsidR="006D4804" w:rsidRPr="00D7206A">
        <w:rPr>
          <w:rFonts w:ascii="Aptos" w:hAnsi="Aptos"/>
        </w:rPr>
        <w:t>th October to 1</w:t>
      </w:r>
      <w:r w:rsidR="00D7206A" w:rsidRPr="00D7206A">
        <w:rPr>
          <w:rFonts w:ascii="Aptos" w:hAnsi="Aptos"/>
        </w:rPr>
        <w:t>7</w:t>
      </w:r>
      <w:r w:rsidR="006D4804" w:rsidRPr="00D7206A">
        <w:rPr>
          <w:rFonts w:ascii="Aptos" w:hAnsi="Aptos"/>
        </w:rPr>
        <w:t>th October 202</w:t>
      </w:r>
      <w:r w:rsidR="00D7206A" w:rsidRPr="00D7206A">
        <w:rPr>
          <w:rFonts w:ascii="Aptos" w:hAnsi="Aptos"/>
        </w:rPr>
        <w:t>5</w:t>
      </w:r>
    </w:p>
    <w:p w14:paraId="06A26B6B" w14:textId="0F3ADE26" w:rsidR="006D4804" w:rsidRPr="00D7206A" w:rsidRDefault="006D4804" w:rsidP="006D4804">
      <w:pPr>
        <w:pStyle w:val="ListParagraph"/>
        <w:numPr>
          <w:ilvl w:val="0"/>
          <w:numId w:val="1"/>
        </w:numPr>
        <w:rPr>
          <w:rFonts w:ascii="Aptos" w:hAnsi="Aptos"/>
        </w:rPr>
      </w:pPr>
      <w:r w:rsidRPr="00D7206A">
        <w:rPr>
          <w:rFonts w:ascii="Aptos" w:hAnsi="Aptos"/>
        </w:rPr>
        <w:t>2</w:t>
      </w:r>
      <w:r w:rsidR="00D7206A" w:rsidRPr="00D7206A">
        <w:rPr>
          <w:rFonts w:ascii="Aptos" w:hAnsi="Aptos"/>
        </w:rPr>
        <w:t>2nd</w:t>
      </w:r>
      <w:r w:rsidRPr="00D7206A">
        <w:rPr>
          <w:rFonts w:ascii="Aptos" w:hAnsi="Aptos"/>
        </w:rPr>
        <w:t xml:space="preserve"> December 202</w:t>
      </w:r>
      <w:r w:rsidR="00217503" w:rsidRPr="00D7206A">
        <w:rPr>
          <w:rFonts w:ascii="Aptos" w:hAnsi="Aptos"/>
        </w:rPr>
        <w:t>4</w:t>
      </w:r>
      <w:r w:rsidRPr="00D7206A">
        <w:rPr>
          <w:rFonts w:ascii="Aptos" w:hAnsi="Aptos"/>
        </w:rPr>
        <w:t xml:space="preserve"> to </w:t>
      </w:r>
      <w:r w:rsidR="00D7206A" w:rsidRPr="00D7206A">
        <w:rPr>
          <w:rFonts w:ascii="Aptos" w:hAnsi="Aptos"/>
        </w:rPr>
        <w:t>2nd</w:t>
      </w:r>
      <w:r w:rsidRPr="00D7206A">
        <w:rPr>
          <w:rFonts w:ascii="Aptos" w:hAnsi="Aptos"/>
        </w:rPr>
        <w:t xml:space="preserve"> January 202</w:t>
      </w:r>
      <w:r w:rsidR="00217503" w:rsidRPr="00D7206A">
        <w:rPr>
          <w:rFonts w:ascii="Aptos" w:hAnsi="Aptos"/>
        </w:rPr>
        <w:t>5</w:t>
      </w:r>
    </w:p>
    <w:p w14:paraId="1FFF8CAA" w14:textId="04864027" w:rsidR="006D4804" w:rsidRPr="00D7206A" w:rsidRDefault="00D7206A" w:rsidP="006D4804">
      <w:pPr>
        <w:pStyle w:val="ListParagraph"/>
        <w:numPr>
          <w:ilvl w:val="0"/>
          <w:numId w:val="1"/>
        </w:numPr>
        <w:rPr>
          <w:rFonts w:ascii="Aptos" w:hAnsi="Aptos"/>
        </w:rPr>
      </w:pPr>
      <w:r w:rsidRPr="00D7206A">
        <w:rPr>
          <w:rFonts w:ascii="Aptos" w:hAnsi="Aptos"/>
        </w:rPr>
        <w:t>9</w:t>
      </w:r>
      <w:r w:rsidR="006D4804" w:rsidRPr="00D7206A">
        <w:rPr>
          <w:rFonts w:ascii="Aptos" w:hAnsi="Aptos"/>
        </w:rPr>
        <w:t>th February 202</w:t>
      </w:r>
      <w:r w:rsidR="00217503" w:rsidRPr="00D7206A">
        <w:rPr>
          <w:rFonts w:ascii="Aptos" w:hAnsi="Aptos"/>
        </w:rPr>
        <w:t>5</w:t>
      </w:r>
      <w:r w:rsidR="006D4804" w:rsidRPr="00D7206A">
        <w:rPr>
          <w:rFonts w:ascii="Aptos" w:hAnsi="Aptos"/>
        </w:rPr>
        <w:t xml:space="preserve"> to 1</w:t>
      </w:r>
      <w:r w:rsidRPr="00D7206A">
        <w:rPr>
          <w:rFonts w:ascii="Aptos" w:hAnsi="Aptos"/>
        </w:rPr>
        <w:t>3</w:t>
      </w:r>
      <w:r w:rsidR="006D4804" w:rsidRPr="00D7206A">
        <w:rPr>
          <w:rFonts w:ascii="Aptos" w:hAnsi="Aptos"/>
        </w:rPr>
        <w:t>th February 202</w:t>
      </w:r>
      <w:r w:rsidR="00217503" w:rsidRPr="00D7206A">
        <w:rPr>
          <w:rFonts w:ascii="Aptos" w:hAnsi="Aptos"/>
        </w:rPr>
        <w:t>5</w:t>
      </w:r>
    </w:p>
    <w:p w14:paraId="29C4105A" w14:textId="746E3C84" w:rsidR="006D4804" w:rsidRPr="00D7206A" w:rsidRDefault="00D7206A" w:rsidP="006D4804">
      <w:pPr>
        <w:pStyle w:val="ListParagraph"/>
        <w:numPr>
          <w:ilvl w:val="0"/>
          <w:numId w:val="1"/>
        </w:numPr>
        <w:rPr>
          <w:rFonts w:ascii="Aptos" w:hAnsi="Aptos"/>
        </w:rPr>
      </w:pPr>
      <w:r w:rsidRPr="00D7206A">
        <w:rPr>
          <w:rFonts w:ascii="Aptos" w:hAnsi="Aptos"/>
        </w:rPr>
        <w:t>3rd</w:t>
      </w:r>
      <w:r w:rsidR="006D4804" w:rsidRPr="00D7206A">
        <w:rPr>
          <w:rFonts w:ascii="Aptos" w:hAnsi="Aptos"/>
        </w:rPr>
        <w:t xml:space="preserve"> </w:t>
      </w:r>
      <w:r w:rsidR="00217503" w:rsidRPr="00D7206A">
        <w:rPr>
          <w:rFonts w:ascii="Aptos" w:hAnsi="Aptos"/>
        </w:rPr>
        <w:t xml:space="preserve">April </w:t>
      </w:r>
      <w:r w:rsidR="006D4804" w:rsidRPr="00D7206A">
        <w:rPr>
          <w:rFonts w:ascii="Aptos" w:hAnsi="Aptos"/>
        </w:rPr>
        <w:t>202</w:t>
      </w:r>
      <w:r w:rsidR="00217503" w:rsidRPr="00D7206A">
        <w:rPr>
          <w:rFonts w:ascii="Aptos" w:hAnsi="Aptos"/>
        </w:rPr>
        <w:t>5</w:t>
      </w:r>
      <w:r w:rsidR="006D4804" w:rsidRPr="00D7206A">
        <w:rPr>
          <w:rFonts w:ascii="Aptos" w:hAnsi="Aptos"/>
        </w:rPr>
        <w:t xml:space="preserve"> to 1</w:t>
      </w:r>
      <w:r w:rsidRPr="00D7206A">
        <w:rPr>
          <w:rFonts w:ascii="Aptos" w:hAnsi="Aptos"/>
        </w:rPr>
        <w:t>7th</w:t>
      </w:r>
      <w:r w:rsidR="006D4804" w:rsidRPr="00D7206A">
        <w:rPr>
          <w:rFonts w:ascii="Aptos" w:hAnsi="Aptos"/>
        </w:rPr>
        <w:t xml:space="preserve"> April 202</w:t>
      </w:r>
      <w:r w:rsidR="00217503" w:rsidRPr="00D7206A">
        <w:rPr>
          <w:rFonts w:ascii="Aptos" w:hAnsi="Aptos"/>
        </w:rPr>
        <w:t>5</w:t>
      </w:r>
      <w:r w:rsidR="006D4804" w:rsidRPr="00D7206A">
        <w:rPr>
          <w:rFonts w:ascii="Aptos" w:hAnsi="Aptos"/>
        </w:rPr>
        <w:t xml:space="preserve"> </w:t>
      </w:r>
    </w:p>
    <w:p w14:paraId="61B4282E" w14:textId="77777777" w:rsidR="006D4804" w:rsidRPr="00D7206A" w:rsidRDefault="006D4804" w:rsidP="006D4804">
      <w:pPr>
        <w:rPr>
          <w:rFonts w:ascii="Aptos" w:hAnsi="Aptos"/>
        </w:rPr>
      </w:pPr>
      <w:r w:rsidRPr="00D7206A">
        <w:rPr>
          <w:rFonts w:ascii="Aptos" w:hAnsi="Aptos"/>
        </w:rPr>
        <w:t xml:space="preserve">If your childcare provider requires payment during these </w:t>
      </w:r>
      <w:proofErr w:type="gramStart"/>
      <w:r w:rsidRPr="00D7206A">
        <w:rPr>
          <w:rFonts w:ascii="Aptos" w:hAnsi="Aptos"/>
        </w:rPr>
        <w:t>times</w:t>
      </w:r>
      <w:proofErr w:type="gramEnd"/>
      <w:r w:rsidRPr="00D7206A">
        <w:rPr>
          <w:rFonts w:ascii="Aptos" w:hAnsi="Aptos"/>
        </w:rPr>
        <w:t xml:space="preserve"> you will be responsible for paying this directly to your provider.</w:t>
      </w:r>
    </w:p>
    <w:p w14:paraId="57766498" w14:textId="77777777" w:rsidR="006D4804" w:rsidRPr="00D7206A" w:rsidRDefault="006D4804" w:rsidP="006D4804">
      <w:pPr>
        <w:pStyle w:val="Heading2"/>
        <w:rPr>
          <w:rFonts w:ascii="Aptos" w:hAnsi="Aptos"/>
        </w:rPr>
      </w:pPr>
      <w:r w:rsidRPr="00D7206A">
        <w:rPr>
          <w:rFonts w:ascii="Aptos" w:hAnsi="Aptos"/>
        </w:rPr>
        <w:t>Additional Costs</w:t>
      </w:r>
    </w:p>
    <w:p w14:paraId="73FE0D08" w14:textId="50022BDA" w:rsidR="006D4804" w:rsidRPr="00D7206A" w:rsidRDefault="00D45BF4" w:rsidP="006D4804">
      <w:pPr>
        <w:spacing w:line="259" w:lineRule="auto"/>
        <w:rPr>
          <w:rFonts w:ascii="Aptos" w:hAnsi="Aptos"/>
        </w:rPr>
      </w:pPr>
      <w:r w:rsidRPr="00D7206A">
        <w:rPr>
          <w:rFonts w:ascii="Aptos" w:hAnsi="Aptos"/>
        </w:rPr>
        <w:t>T</w:t>
      </w:r>
      <w:r w:rsidR="006D4804" w:rsidRPr="00D7206A">
        <w:rPr>
          <w:rFonts w:ascii="Aptos" w:hAnsi="Aptos"/>
        </w:rPr>
        <w:t>he College will not provide any payment towards registration fees, induction days, drinks/snacks, or any other similar additional costs.</w:t>
      </w:r>
    </w:p>
    <w:p w14:paraId="7446E8BC" w14:textId="77777777" w:rsidR="002E1DF2" w:rsidRPr="00D7206A" w:rsidRDefault="002E1DF2" w:rsidP="002E1DF2">
      <w:pPr>
        <w:pStyle w:val="Heading1"/>
        <w:rPr>
          <w:rFonts w:ascii="Aptos" w:hAnsi="Aptos"/>
        </w:rPr>
      </w:pPr>
      <w:r w:rsidRPr="00D7206A">
        <w:rPr>
          <w:rFonts w:ascii="Aptos" w:hAnsi="Aptos"/>
        </w:rPr>
        <w:t>How will this be paid?</w:t>
      </w:r>
    </w:p>
    <w:p w14:paraId="505DBD98" w14:textId="77777777" w:rsidR="002E1DF2" w:rsidRPr="00D7206A" w:rsidRDefault="002E1DF2" w:rsidP="00287768">
      <w:pPr>
        <w:rPr>
          <w:rFonts w:ascii="Aptos" w:hAnsi="Aptos"/>
        </w:rPr>
      </w:pPr>
      <w:r w:rsidRPr="00D7206A">
        <w:rPr>
          <w:rFonts w:ascii="Aptos" w:hAnsi="Aptos"/>
        </w:rPr>
        <w:t xml:space="preserve">Awarded childcare costs will be paid directly to your childcare provider, 2 weeks in arrears. </w:t>
      </w:r>
    </w:p>
    <w:p w14:paraId="373F52AD" w14:textId="77777777" w:rsidR="002E1DF2" w:rsidRPr="00D7206A" w:rsidRDefault="002E1DF2" w:rsidP="00287768">
      <w:pPr>
        <w:rPr>
          <w:rFonts w:ascii="Aptos" w:hAnsi="Aptos"/>
        </w:rPr>
      </w:pPr>
      <w:r w:rsidRPr="00D7206A">
        <w:rPr>
          <w:rFonts w:ascii="Aptos" w:hAnsi="Aptos"/>
        </w:rPr>
        <w:t xml:space="preserve">Your childcare provider will submit completed paperwork to us which will be used to set up a weekly payment amount. </w:t>
      </w:r>
    </w:p>
    <w:p w14:paraId="13538440" w14:textId="77777777" w:rsidR="002E1DF2" w:rsidRPr="00D7206A" w:rsidRDefault="002E1DF2" w:rsidP="00287768">
      <w:pPr>
        <w:rPr>
          <w:rFonts w:ascii="Aptos" w:hAnsi="Aptos"/>
        </w:rPr>
      </w:pPr>
      <w:r w:rsidRPr="00D7206A">
        <w:rPr>
          <w:rFonts w:ascii="Aptos" w:hAnsi="Aptos"/>
        </w:rPr>
        <w:t>If there is an occasion when your child’s school is closed and you require full-day childcare that your childcare provider can accommodate, please contact Student Funding and we will advise if we can cover these costs. If you do not receive approval in advance, we may not cover these costs.</w:t>
      </w:r>
    </w:p>
    <w:p w14:paraId="06055715" w14:textId="7C93A4CC" w:rsidR="002E1DF2" w:rsidRPr="00D7206A" w:rsidRDefault="002E1DF2" w:rsidP="00287768">
      <w:pPr>
        <w:rPr>
          <w:rFonts w:ascii="Aptos" w:hAnsi="Aptos"/>
        </w:rPr>
      </w:pPr>
      <w:r w:rsidRPr="00D7206A">
        <w:rPr>
          <w:rFonts w:ascii="Aptos" w:hAnsi="Aptos"/>
        </w:rPr>
        <w:t xml:space="preserve">For any additional days or changes, the provider can submit an </w:t>
      </w:r>
      <w:r w:rsidR="00217503" w:rsidRPr="00D7206A">
        <w:rPr>
          <w:rFonts w:ascii="Aptos" w:hAnsi="Aptos"/>
        </w:rPr>
        <w:t>ad h</w:t>
      </w:r>
      <w:r w:rsidRPr="00D7206A">
        <w:rPr>
          <w:rFonts w:ascii="Aptos" w:hAnsi="Aptos"/>
        </w:rPr>
        <w:t>oc claim form</w:t>
      </w:r>
      <w:r w:rsidR="001D5E10" w:rsidRPr="00D7206A">
        <w:rPr>
          <w:rFonts w:ascii="Aptos" w:hAnsi="Aptos"/>
        </w:rPr>
        <w:t>.</w:t>
      </w:r>
    </w:p>
    <w:p w14:paraId="59055326" w14:textId="3C53C500" w:rsidR="00810EDE" w:rsidRPr="00D7206A" w:rsidRDefault="00810EDE" w:rsidP="00287768">
      <w:pPr>
        <w:rPr>
          <w:rFonts w:ascii="Aptos" w:hAnsi="Aptos"/>
        </w:rPr>
      </w:pPr>
    </w:p>
    <w:p w14:paraId="40FF06CD" w14:textId="77777777" w:rsidR="00810EDE" w:rsidRPr="00D7206A" w:rsidRDefault="00810EDE" w:rsidP="00810EDE">
      <w:pPr>
        <w:pStyle w:val="Heading1"/>
        <w:rPr>
          <w:rFonts w:ascii="Aptos" w:hAnsi="Aptos"/>
        </w:rPr>
      </w:pPr>
      <w:r w:rsidRPr="00D7206A">
        <w:rPr>
          <w:rFonts w:ascii="Aptos" w:hAnsi="Aptos"/>
        </w:rPr>
        <w:t>Will my childcare provider be notified how childcare is funded?</w:t>
      </w:r>
    </w:p>
    <w:p w14:paraId="049D678E" w14:textId="110729C4" w:rsidR="00810EDE" w:rsidRPr="00D7206A" w:rsidRDefault="00810EDE" w:rsidP="00810EDE">
      <w:pPr>
        <w:rPr>
          <w:rFonts w:ascii="Aptos" w:hAnsi="Aptos"/>
        </w:rPr>
      </w:pPr>
      <w:r w:rsidRPr="00D7206A">
        <w:rPr>
          <w:rFonts w:ascii="Aptos" w:hAnsi="Aptos"/>
        </w:rPr>
        <w:t>Your childcare provider will be sent details of funding award as soon as the award is finalised. They will also be sent a link to all the relevant info</w:t>
      </w:r>
      <w:r w:rsidR="00E579E8" w:rsidRPr="00D7206A">
        <w:rPr>
          <w:rFonts w:ascii="Aptos" w:hAnsi="Aptos"/>
        </w:rPr>
        <w:t>rmation and paperwork required.</w:t>
      </w:r>
    </w:p>
    <w:p w14:paraId="74B975ED" w14:textId="0BC88C61" w:rsidR="00810EDE" w:rsidRPr="00D7206A" w:rsidRDefault="00E579E8" w:rsidP="00810EDE">
      <w:pPr>
        <w:rPr>
          <w:rFonts w:ascii="Aptos" w:hAnsi="Aptos"/>
        </w:rPr>
      </w:pPr>
      <w:r w:rsidRPr="00D7206A">
        <w:rPr>
          <w:rFonts w:ascii="Aptos" w:hAnsi="Aptos"/>
        </w:rPr>
        <w:t xml:space="preserve">If your Childcare Provider would like more information about Childcare Funding and what the process is for providers, there is a </w:t>
      </w:r>
      <w:hyperlink r:id="rId10" w:history="1">
        <w:r w:rsidRPr="00D7206A">
          <w:rPr>
            <w:rStyle w:val="Hyperlink"/>
            <w:rFonts w:ascii="Aptos" w:hAnsi="Aptos"/>
            <w:b/>
          </w:rPr>
          <w:t>Childcare Funding Provider Handbook</w:t>
        </w:r>
        <w:r w:rsidR="008A1B06" w:rsidRPr="00D7206A">
          <w:rPr>
            <w:rStyle w:val="Hyperlink"/>
            <w:rFonts w:ascii="Aptos" w:hAnsi="Aptos"/>
          </w:rPr>
          <w:t xml:space="preserve"> which you can download from our website</w:t>
        </w:r>
      </w:hyperlink>
      <w:r w:rsidR="008A1B06" w:rsidRPr="00D7206A">
        <w:rPr>
          <w:rFonts w:ascii="Aptos" w:hAnsi="Aptos"/>
        </w:rPr>
        <w:t>.</w:t>
      </w:r>
    </w:p>
    <w:sectPr w:rsidR="00810EDE" w:rsidRPr="00D7206A" w:rsidSect="006D4804">
      <w:type w:val="continuous"/>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485F7" w14:textId="77777777" w:rsidR="00DE2EA2" w:rsidRDefault="00DE2EA2" w:rsidP="006D4804">
      <w:pPr>
        <w:spacing w:after="0"/>
      </w:pPr>
      <w:r>
        <w:separator/>
      </w:r>
    </w:p>
  </w:endnote>
  <w:endnote w:type="continuationSeparator" w:id="0">
    <w:p w14:paraId="54D2571F" w14:textId="77777777" w:rsidR="00DE2EA2" w:rsidRDefault="00DE2EA2" w:rsidP="006D48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7709"/>
      <w:gridCol w:w="7689"/>
    </w:tblGrid>
    <w:tr w:rsidR="008158BF" w14:paraId="375A9514" w14:textId="77777777" w:rsidTr="008158BF">
      <w:trPr>
        <w:trHeight w:hRule="exact" w:val="115"/>
        <w:jc w:val="center"/>
      </w:trPr>
      <w:tc>
        <w:tcPr>
          <w:tcW w:w="7709" w:type="dxa"/>
          <w:shd w:val="clear" w:color="auto" w:fill="AC3F90" w:themeFill="accent1"/>
          <w:tcMar>
            <w:top w:w="0" w:type="dxa"/>
            <w:bottom w:w="0" w:type="dxa"/>
          </w:tcMar>
        </w:tcPr>
        <w:p w14:paraId="6BB22161" w14:textId="77777777" w:rsidR="008158BF" w:rsidRDefault="008158BF">
          <w:pPr>
            <w:pStyle w:val="Header"/>
            <w:rPr>
              <w:caps/>
              <w:sz w:val="18"/>
            </w:rPr>
          </w:pPr>
        </w:p>
      </w:tc>
      <w:tc>
        <w:tcPr>
          <w:tcW w:w="7689" w:type="dxa"/>
          <w:shd w:val="clear" w:color="auto" w:fill="AC3F90" w:themeFill="accent1"/>
          <w:tcMar>
            <w:top w:w="0" w:type="dxa"/>
            <w:bottom w:w="0" w:type="dxa"/>
          </w:tcMar>
        </w:tcPr>
        <w:p w14:paraId="2BB77043" w14:textId="77777777" w:rsidR="008158BF" w:rsidRDefault="008158BF">
          <w:pPr>
            <w:pStyle w:val="Header"/>
            <w:jc w:val="right"/>
            <w:rPr>
              <w:caps/>
              <w:sz w:val="18"/>
            </w:rPr>
          </w:pPr>
        </w:p>
      </w:tc>
    </w:tr>
  </w:tbl>
  <w:p w14:paraId="6965E6F8" w14:textId="21B4D081" w:rsidR="008158BF" w:rsidRPr="006D4804" w:rsidRDefault="008158BF" w:rsidP="008158BF">
    <w:pPr>
      <w:pStyle w:val="Footer"/>
      <w:rPr>
        <w:b/>
      </w:rPr>
    </w:pPr>
    <w:r>
      <w:rPr>
        <w:noProof/>
        <w:lang w:eastAsia="en-GB"/>
      </w:rPr>
      <w:drawing>
        <wp:anchor distT="0" distB="0" distL="114300" distR="114300" simplePos="0" relativeHeight="251657216" behindDoc="1" locked="0" layoutInCell="1" allowOverlap="1" wp14:anchorId="2BD6081E" wp14:editId="5284AF33">
          <wp:simplePos x="0" y="0"/>
          <wp:positionH relativeFrom="margin">
            <wp:align>right</wp:align>
          </wp:positionH>
          <wp:positionV relativeFrom="paragraph">
            <wp:posOffset>31650</wp:posOffset>
          </wp:positionV>
          <wp:extent cx="745490" cy="7454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a1b6434-ccb9-452a-970c-23444f3ed16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5490" cy="745490"/>
                  </a:xfrm>
                  <a:prstGeom prst="rect">
                    <a:avLst/>
                  </a:prstGeom>
                </pic:spPr>
              </pic:pic>
            </a:graphicData>
          </a:graphic>
          <wp14:sizeRelH relativeFrom="margin">
            <wp14:pctWidth>0</wp14:pctWidth>
          </wp14:sizeRelH>
          <wp14:sizeRelV relativeFrom="margin">
            <wp14:pctHeight>0</wp14:pctHeight>
          </wp14:sizeRelV>
        </wp:anchor>
      </w:drawing>
    </w:r>
    <w:r w:rsidRPr="006D4804">
      <w:rPr>
        <w:b/>
      </w:rPr>
      <w:t>Contact Student Funding</w:t>
    </w:r>
  </w:p>
  <w:p w14:paraId="055AADBC" w14:textId="7300B78D" w:rsidR="008158BF" w:rsidRDefault="008158BF" w:rsidP="008158BF">
    <w:pPr>
      <w:pStyle w:val="Footer"/>
    </w:pPr>
    <w:r>
      <w:t xml:space="preserve">Phone: </w:t>
    </w:r>
    <w:r w:rsidR="001D5E10" w:rsidRPr="001D5E10">
      <w:t>01324 403041</w:t>
    </w:r>
  </w:p>
  <w:p w14:paraId="02C7BF85" w14:textId="37108956" w:rsidR="008158BF" w:rsidRDefault="008158BF" w:rsidP="008158BF">
    <w:pPr>
      <w:pStyle w:val="Footer"/>
    </w:pPr>
    <w:r>
      <w:t>Email: funding@forthvalley.ac.uk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5AC6B" w14:textId="77777777" w:rsidR="00DE2EA2" w:rsidRDefault="00DE2EA2" w:rsidP="006D4804">
      <w:pPr>
        <w:spacing w:after="0"/>
      </w:pPr>
      <w:r>
        <w:separator/>
      </w:r>
    </w:p>
  </w:footnote>
  <w:footnote w:type="continuationSeparator" w:id="0">
    <w:p w14:paraId="144DBD46" w14:textId="77777777" w:rsidR="00DE2EA2" w:rsidRDefault="00DE2EA2" w:rsidP="006D48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7657693"/>
      <w:docPartObj>
        <w:docPartGallery w:val="Watermarks"/>
        <w:docPartUnique/>
      </w:docPartObj>
    </w:sdtPr>
    <w:sdtEndPr/>
    <w:sdtContent>
      <w:p w14:paraId="63734AF7" w14:textId="5B7D2A57" w:rsidR="00100B6B" w:rsidRDefault="00D7206A">
        <w:pPr>
          <w:pStyle w:val="Header"/>
        </w:pPr>
        <w:r>
          <w:rPr>
            <w:noProof/>
            <w:lang w:val="en-US"/>
          </w:rPr>
          <w:pict w14:anchorId="13FE0D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772FA"/>
    <w:multiLevelType w:val="hybridMultilevel"/>
    <w:tmpl w:val="6EECC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9994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F16"/>
    <w:rsid w:val="00040C91"/>
    <w:rsid w:val="0006423A"/>
    <w:rsid w:val="00100B6B"/>
    <w:rsid w:val="00194FCB"/>
    <w:rsid w:val="001D5E10"/>
    <w:rsid w:val="002071F8"/>
    <w:rsid w:val="00217503"/>
    <w:rsid w:val="00231686"/>
    <w:rsid w:val="00254E96"/>
    <w:rsid w:val="00287768"/>
    <w:rsid w:val="002E1DF2"/>
    <w:rsid w:val="00314ECB"/>
    <w:rsid w:val="003D27C4"/>
    <w:rsid w:val="0059093E"/>
    <w:rsid w:val="0067529F"/>
    <w:rsid w:val="006D4804"/>
    <w:rsid w:val="007556AF"/>
    <w:rsid w:val="00810EDE"/>
    <w:rsid w:val="008158BF"/>
    <w:rsid w:val="00821E3D"/>
    <w:rsid w:val="008A1B06"/>
    <w:rsid w:val="00A44F16"/>
    <w:rsid w:val="00B132E1"/>
    <w:rsid w:val="00C75B22"/>
    <w:rsid w:val="00D45BF4"/>
    <w:rsid w:val="00D5357F"/>
    <w:rsid w:val="00D7206A"/>
    <w:rsid w:val="00DE2EA2"/>
    <w:rsid w:val="00DF3F8B"/>
    <w:rsid w:val="00E46CF7"/>
    <w:rsid w:val="00E579E8"/>
    <w:rsid w:val="00E93BBD"/>
    <w:rsid w:val="00ED7AB4"/>
    <w:rsid w:val="00FC6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A1699"/>
  <w15:chartTrackingRefBased/>
  <w15:docId w15:val="{56FA5D09-3FFC-4DCD-BFA0-B2C6E937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6A"/>
    <w:rPr>
      <w:color w:val="241E4C" w:themeColor="text1"/>
    </w:rPr>
  </w:style>
  <w:style w:type="paragraph" w:styleId="Heading1">
    <w:name w:val="heading 1"/>
    <w:basedOn w:val="Normal"/>
    <w:next w:val="Normal"/>
    <w:link w:val="Heading1Char"/>
    <w:uiPriority w:val="9"/>
    <w:qFormat/>
    <w:rsid w:val="00D7206A"/>
    <w:pPr>
      <w:pBdr>
        <w:top w:val="single" w:sz="24" w:space="0" w:color="AC3F90" w:themeColor="accent1"/>
        <w:left w:val="single" w:sz="24" w:space="0" w:color="AC3F90" w:themeColor="accent1"/>
        <w:bottom w:val="single" w:sz="24" w:space="0" w:color="AC3F90" w:themeColor="accent1"/>
        <w:right w:val="single" w:sz="24" w:space="0" w:color="AC3F90" w:themeColor="accent1"/>
      </w:pBdr>
      <w:shd w:val="clear" w:color="auto" w:fill="AC3F90" w:themeFill="accent1"/>
      <w:spacing w:after="0"/>
      <w:outlineLvl w:val="0"/>
    </w:pPr>
    <w:rPr>
      <w:b/>
      <w:color w:val="FFFFFF" w:themeColor="background1"/>
      <w:spacing w:val="15"/>
      <w:sz w:val="22"/>
      <w:szCs w:val="22"/>
    </w:rPr>
  </w:style>
  <w:style w:type="paragraph" w:styleId="Heading2">
    <w:name w:val="heading 2"/>
    <w:basedOn w:val="Normal"/>
    <w:next w:val="Normal"/>
    <w:link w:val="Heading2Char"/>
    <w:uiPriority w:val="9"/>
    <w:unhideWhenUsed/>
    <w:qFormat/>
    <w:rsid w:val="00D7206A"/>
    <w:pPr>
      <w:pBdr>
        <w:top w:val="single" w:sz="24" w:space="0" w:color="E9CD52" w:themeColor="accent2"/>
        <w:left w:val="single" w:sz="24" w:space="0" w:color="E9CD52" w:themeColor="accent2"/>
        <w:bottom w:val="single" w:sz="24" w:space="0" w:color="E9CD52" w:themeColor="accent2"/>
        <w:right w:val="single" w:sz="24" w:space="0" w:color="E9CD52" w:themeColor="accent2"/>
      </w:pBdr>
      <w:shd w:val="clear" w:color="auto" w:fill="E9CD52" w:themeFill="accent2"/>
      <w:spacing w:after="0"/>
      <w:outlineLvl w:val="1"/>
    </w:pPr>
    <w:rPr>
      <w:b/>
      <w:color w:val="auto"/>
      <w:spacing w:val="15"/>
      <w:sz w:val="22"/>
    </w:rPr>
  </w:style>
  <w:style w:type="paragraph" w:styleId="Heading3">
    <w:name w:val="heading 3"/>
    <w:basedOn w:val="Normal"/>
    <w:next w:val="Normal"/>
    <w:link w:val="Heading3Char"/>
    <w:uiPriority w:val="9"/>
    <w:semiHidden/>
    <w:unhideWhenUsed/>
    <w:qFormat/>
    <w:rsid w:val="00D7206A"/>
    <w:pPr>
      <w:pBdr>
        <w:top w:val="single" w:sz="24" w:space="2" w:color="5C4494" w:themeColor="accent3"/>
        <w:left w:val="single" w:sz="24" w:space="4" w:color="5C4494" w:themeColor="accent3"/>
        <w:bottom w:val="single" w:sz="24" w:space="1" w:color="5C4494" w:themeColor="accent3"/>
        <w:right w:val="single" w:sz="24" w:space="4" w:color="5C4494" w:themeColor="accent3"/>
      </w:pBdr>
      <w:shd w:val="clear" w:color="auto" w:fill="5C4494" w:themeFill="accent3"/>
      <w:spacing w:before="300" w:after="0"/>
      <w:outlineLvl w:val="2"/>
    </w:pPr>
    <w:rPr>
      <w:b/>
      <w:color w:val="FFFFFF" w:themeColor="background1"/>
      <w:spacing w:val="15"/>
    </w:rPr>
  </w:style>
  <w:style w:type="paragraph" w:styleId="Heading4">
    <w:name w:val="heading 4"/>
    <w:basedOn w:val="Normal"/>
    <w:next w:val="Normal"/>
    <w:link w:val="Heading4Char"/>
    <w:uiPriority w:val="9"/>
    <w:semiHidden/>
    <w:unhideWhenUsed/>
    <w:qFormat/>
    <w:rsid w:val="00D7206A"/>
    <w:pPr>
      <w:pBdr>
        <w:top w:val="single" w:sz="24" w:space="2" w:color="1EB2BB" w:themeColor="accent4"/>
        <w:left w:val="single" w:sz="24" w:space="4" w:color="1EB2BB" w:themeColor="accent4"/>
        <w:bottom w:val="single" w:sz="24" w:space="1" w:color="1EB2BB" w:themeColor="accent4"/>
        <w:right w:val="single" w:sz="24" w:space="4" w:color="1EB2BB" w:themeColor="accent4"/>
      </w:pBdr>
      <w:shd w:val="clear" w:color="auto" w:fill="1EB2BB" w:themeFill="accent4"/>
      <w:spacing w:before="200" w:after="0"/>
      <w:outlineLvl w:val="3"/>
    </w:pPr>
    <w:rPr>
      <w:b/>
      <w:color w:val="FFFFFF" w:themeColor="background2"/>
      <w:spacing w:val="10"/>
    </w:rPr>
  </w:style>
  <w:style w:type="paragraph" w:styleId="Heading5">
    <w:name w:val="heading 5"/>
    <w:basedOn w:val="Normal"/>
    <w:next w:val="Normal"/>
    <w:link w:val="Heading5Char"/>
    <w:uiPriority w:val="9"/>
    <w:semiHidden/>
    <w:unhideWhenUsed/>
    <w:qFormat/>
    <w:rsid w:val="00D7206A"/>
    <w:pPr>
      <w:pBdr>
        <w:top w:val="single" w:sz="24" w:space="1" w:color="241E4C" w:themeColor="accent5"/>
        <w:left w:val="single" w:sz="24" w:space="4" w:color="241E4C" w:themeColor="accent5"/>
        <w:bottom w:val="single" w:sz="24" w:space="1" w:color="241E4C" w:themeColor="accent5"/>
        <w:right w:val="single" w:sz="24" w:space="4" w:color="241E4C" w:themeColor="accent5"/>
      </w:pBdr>
      <w:shd w:val="clear" w:color="auto" w:fill="241E4C" w:themeFill="accent5"/>
      <w:spacing w:before="200" w:after="0"/>
      <w:outlineLvl w:val="4"/>
    </w:pPr>
    <w:rPr>
      <w:b/>
      <w:color w:val="FFFFFF" w:themeColor="background2"/>
      <w:spacing w:val="10"/>
    </w:rPr>
  </w:style>
  <w:style w:type="paragraph" w:styleId="Heading6">
    <w:name w:val="heading 6"/>
    <w:basedOn w:val="Normal"/>
    <w:next w:val="Normal"/>
    <w:link w:val="Heading6Char"/>
    <w:uiPriority w:val="9"/>
    <w:semiHidden/>
    <w:unhideWhenUsed/>
    <w:qFormat/>
    <w:rsid w:val="00D7206A"/>
    <w:pPr>
      <w:pBdr>
        <w:bottom w:val="dotted" w:sz="6" w:space="1" w:color="AC3F90" w:themeColor="accent1"/>
      </w:pBdr>
      <w:spacing w:before="200" w:after="0"/>
      <w:outlineLvl w:val="5"/>
    </w:pPr>
    <w:rPr>
      <w:caps/>
      <w:color w:val="802F6B" w:themeColor="accent1" w:themeShade="BF"/>
      <w:spacing w:val="10"/>
    </w:rPr>
  </w:style>
  <w:style w:type="paragraph" w:styleId="Heading7">
    <w:name w:val="heading 7"/>
    <w:basedOn w:val="Normal"/>
    <w:next w:val="Normal"/>
    <w:link w:val="Heading7Char"/>
    <w:uiPriority w:val="9"/>
    <w:semiHidden/>
    <w:unhideWhenUsed/>
    <w:qFormat/>
    <w:rsid w:val="00D7206A"/>
    <w:pPr>
      <w:spacing w:before="200" w:after="0"/>
      <w:outlineLvl w:val="6"/>
    </w:pPr>
    <w:rPr>
      <w:caps/>
      <w:color w:val="802F6B" w:themeColor="accent1" w:themeShade="BF"/>
      <w:spacing w:val="10"/>
    </w:rPr>
  </w:style>
  <w:style w:type="paragraph" w:styleId="Heading8">
    <w:name w:val="heading 8"/>
    <w:basedOn w:val="Normal"/>
    <w:next w:val="Normal"/>
    <w:link w:val="Heading8Char"/>
    <w:uiPriority w:val="9"/>
    <w:semiHidden/>
    <w:unhideWhenUsed/>
    <w:qFormat/>
    <w:rsid w:val="00D7206A"/>
    <w:pPr>
      <w:spacing w:before="200" w:after="0"/>
      <w:outlineLvl w:val="7"/>
    </w:pPr>
    <w:rPr>
      <w:caps/>
      <w:color w:val="auto"/>
      <w:spacing w:val="10"/>
      <w:sz w:val="18"/>
      <w:szCs w:val="18"/>
    </w:rPr>
  </w:style>
  <w:style w:type="paragraph" w:styleId="Heading9">
    <w:name w:val="heading 9"/>
    <w:basedOn w:val="Normal"/>
    <w:next w:val="Normal"/>
    <w:link w:val="Heading9Char"/>
    <w:uiPriority w:val="9"/>
    <w:semiHidden/>
    <w:unhideWhenUsed/>
    <w:qFormat/>
    <w:rsid w:val="00D7206A"/>
    <w:pPr>
      <w:spacing w:before="200" w:after="0"/>
      <w:outlineLvl w:val="8"/>
    </w:pPr>
    <w:rPr>
      <w:i/>
      <w:iCs/>
      <w:caps/>
      <w:color w:val="auto"/>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4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7206A"/>
    <w:pPr>
      <w:pBdr>
        <w:top w:val="single" w:sz="24" w:space="1" w:color="241E4C" w:themeColor="text2"/>
        <w:left w:val="single" w:sz="24" w:space="4" w:color="241E4C" w:themeColor="text2"/>
        <w:bottom w:val="single" w:sz="24" w:space="1" w:color="241E4C" w:themeColor="text2"/>
        <w:right w:val="single" w:sz="24" w:space="4" w:color="241E4C" w:themeColor="text2"/>
      </w:pBdr>
      <w:shd w:val="clear" w:color="auto" w:fill="241E4C" w:themeFill="text1"/>
      <w:spacing w:before="0" w:after="0"/>
    </w:pPr>
    <w:rPr>
      <w:rFonts w:asciiTheme="majorHAnsi" w:eastAsiaTheme="majorEastAsia" w:hAnsiTheme="majorHAnsi" w:cstheme="majorBidi"/>
      <w:b/>
      <w:color w:val="FFFFFF" w:themeColor="background1"/>
      <w:spacing w:val="10"/>
      <w:sz w:val="52"/>
      <w:szCs w:val="52"/>
    </w:rPr>
  </w:style>
  <w:style w:type="character" w:customStyle="1" w:styleId="TitleChar">
    <w:name w:val="Title Char"/>
    <w:basedOn w:val="DefaultParagraphFont"/>
    <w:link w:val="Title"/>
    <w:uiPriority w:val="10"/>
    <w:rsid w:val="00D7206A"/>
    <w:rPr>
      <w:rFonts w:asciiTheme="majorHAnsi" w:eastAsiaTheme="majorEastAsia" w:hAnsiTheme="majorHAnsi" w:cstheme="majorBidi"/>
      <w:b/>
      <w:color w:val="FFFFFF" w:themeColor="background1"/>
      <w:spacing w:val="10"/>
      <w:sz w:val="52"/>
      <w:szCs w:val="52"/>
      <w:shd w:val="clear" w:color="auto" w:fill="241E4C" w:themeFill="text1"/>
    </w:rPr>
  </w:style>
  <w:style w:type="paragraph" w:styleId="Subtitle">
    <w:name w:val="Subtitle"/>
    <w:basedOn w:val="Normal"/>
    <w:next w:val="Normal"/>
    <w:link w:val="SubtitleChar"/>
    <w:uiPriority w:val="11"/>
    <w:qFormat/>
    <w:rsid w:val="00D7206A"/>
    <w:pPr>
      <w:spacing w:before="0" w:after="500" w:line="240" w:lineRule="auto"/>
    </w:pPr>
    <w:rPr>
      <w:color w:val="241E4C" w:themeColor="text2"/>
      <w:spacing w:val="10"/>
      <w:sz w:val="24"/>
      <w:szCs w:val="21"/>
    </w:rPr>
  </w:style>
  <w:style w:type="character" w:customStyle="1" w:styleId="SubtitleChar">
    <w:name w:val="Subtitle Char"/>
    <w:basedOn w:val="DefaultParagraphFont"/>
    <w:link w:val="Subtitle"/>
    <w:uiPriority w:val="11"/>
    <w:rsid w:val="00D7206A"/>
    <w:rPr>
      <w:color w:val="241E4C" w:themeColor="text2"/>
      <w:spacing w:val="10"/>
      <w:sz w:val="24"/>
      <w:szCs w:val="21"/>
    </w:rPr>
  </w:style>
  <w:style w:type="character" w:customStyle="1" w:styleId="Heading1Char">
    <w:name w:val="Heading 1 Char"/>
    <w:basedOn w:val="DefaultParagraphFont"/>
    <w:link w:val="Heading1"/>
    <w:uiPriority w:val="9"/>
    <w:rsid w:val="00D7206A"/>
    <w:rPr>
      <w:b/>
      <w:color w:val="FFFFFF" w:themeColor="background1"/>
      <w:spacing w:val="15"/>
      <w:sz w:val="22"/>
      <w:szCs w:val="22"/>
      <w:shd w:val="clear" w:color="auto" w:fill="AC3F90" w:themeFill="accent1"/>
    </w:rPr>
  </w:style>
  <w:style w:type="character" w:customStyle="1" w:styleId="Heading2Char">
    <w:name w:val="Heading 2 Char"/>
    <w:basedOn w:val="DefaultParagraphFont"/>
    <w:link w:val="Heading2"/>
    <w:uiPriority w:val="9"/>
    <w:rsid w:val="00D7206A"/>
    <w:rPr>
      <w:b/>
      <w:spacing w:val="15"/>
      <w:sz w:val="22"/>
      <w:shd w:val="clear" w:color="auto" w:fill="E9CD52" w:themeFill="accent2"/>
    </w:rPr>
  </w:style>
  <w:style w:type="character" w:customStyle="1" w:styleId="Heading3Char">
    <w:name w:val="Heading 3 Char"/>
    <w:basedOn w:val="DefaultParagraphFont"/>
    <w:link w:val="Heading3"/>
    <w:uiPriority w:val="9"/>
    <w:semiHidden/>
    <w:rsid w:val="00D7206A"/>
    <w:rPr>
      <w:b/>
      <w:color w:val="FFFFFF" w:themeColor="background1"/>
      <w:spacing w:val="15"/>
      <w:shd w:val="clear" w:color="auto" w:fill="5C4494" w:themeFill="accent3"/>
    </w:rPr>
  </w:style>
  <w:style w:type="character" w:styleId="Hyperlink">
    <w:name w:val="Hyperlink"/>
    <w:basedOn w:val="DefaultParagraphFont"/>
    <w:uiPriority w:val="99"/>
    <w:unhideWhenUsed/>
    <w:rsid w:val="002E1DF2"/>
    <w:rPr>
      <w:color w:val="AC3F90" w:themeColor="hyperlink"/>
      <w:u w:val="single"/>
    </w:rPr>
  </w:style>
  <w:style w:type="paragraph" w:styleId="ListParagraph">
    <w:name w:val="List Paragraph"/>
    <w:basedOn w:val="Normal"/>
    <w:uiPriority w:val="34"/>
    <w:qFormat/>
    <w:rsid w:val="006D4804"/>
    <w:pPr>
      <w:ind w:left="720"/>
      <w:contextualSpacing/>
    </w:pPr>
  </w:style>
  <w:style w:type="paragraph" w:styleId="Header">
    <w:name w:val="header"/>
    <w:basedOn w:val="Normal"/>
    <w:link w:val="HeaderChar"/>
    <w:uiPriority w:val="99"/>
    <w:unhideWhenUsed/>
    <w:rsid w:val="006D4804"/>
    <w:pPr>
      <w:tabs>
        <w:tab w:val="center" w:pos="4513"/>
        <w:tab w:val="right" w:pos="9026"/>
      </w:tabs>
      <w:spacing w:after="0"/>
    </w:pPr>
  </w:style>
  <w:style w:type="character" w:customStyle="1" w:styleId="HeaderChar">
    <w:name w:val="Header Char"/>
    <w:basedOn w:val="DefaultParagraphFont"/>
    <w:link w:val="Header"/>
    <w:uiPriority w:val="99"/>
    <w:rsid w:val="006D4804"/>
  </w:style>
  <w:style w:type="paragraph" w:styleId="Footer">
    <w:name w:val="footer"/>
    <w:basedOn w:val="Normal"/>
    <w:link w:val="FooterChar"/>
    <w:uiPriority w:val="99"/>
    <w:unhideWhenUsed/>
    <w:rsid w:val="006D4804"/>
    <w:pPr>
      <w:tabs>
        <w:tab w:val="center" w:pos="4513"/>
        <w:tab w:val="right" w:pos="9026"/>
      </w:tabs>
      <w:spacing w:after="0"/>
    </w:pPr>
  </w:style>
  <w:style w:type="character" w:customStyle="1" w:styleId="FooterChar">
    <w:name w:val="Footer Char"/>
    <w:basedOn w:val="DefaultParagraphFont"/>
    <w:link w:val="Footer"/>
    <w:uiPriority w:val="99"/>
    <w:rsid w:val="006D4804"/>
  </w:style>
  <w:style w:type="table" w:styleId="GridTable2-Accent1">
    <w:name w:val="Grid Table 2 Accent 1"/>
    <w:basedOn w:val="TableNormal"/>
    <w:uiPriority w:val="47"/>
    <w:rsid w:val="00821E3D"/>
    <w:pPr>
      <w:spacing w:after="0" w:line="240" w:lineRule="auto"/>
    </w:pPr>
    <w:tblPr>
      <w:tblStyleRowBandSize w:val="1"/>
      <w:tblStyleColBandSize w:val="1"/>
      <w:tblBorders>
        <w:top w:val="single" w:sz="2" w:space="0" w:color="D286BE" w:themeColor="accent1" w:themeTint="99"/>
        <w:bottom w:val="single" w:sz="2" w:space="0" w:color="D286BE" w:themeColor="accent1" w:themeTint="99"/>
        <w:insideH w:val="single" w:sz="2" w:space="0" w:color="D286BE" w:themeColor="accent1" w:themeTint="99"/>
        <w:insideV w:val="single" w:sz="2" w:space="0" w:color="D286BE" w:themeColor="accent1" w:themeTint="99"/>
      </w:tblBorders>
    </w:tblPr>
    <w:tblStylePr w:type="firstRow">
      <w:rPr>
        <w:b/>
        <w:bCs/>
      </w:rPr>
      <w:tblPr/>
      <w:tcPr>
        <w:tcBorders>
          <w:top w:val="nil"/>
          <w:bottom w:val="single" w:sz="12" w:space="0" w:color="D286BE" w:themeColor="accent1" w:themeTint="99"/>
          <w:insideH w:val="nil"/>
          <w:insideV w:val="nil"/>
        </w:tcBorders>
        <w:shd w:val="clear" w:color="auto" w:fill="FFFFFF" w:themeFill="background1"/>
      </w:tcPr>
    </w:tblStylePr>
    <w:tblStylePr w:type="lastRow">
      <w:rPr>
        <w:b/>
        <w:bCs/>
      </w:rPr>
      <w:tblPr/>
      <w:tcPr>
        <w:tcBorders>
          <w:top w:val="double" w:sz="2" w:space="0" w:color="D286B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D6E9" w:themeFill="accent1" w:themeFillTint="33"/>
      </w:tcPr>
    </w:tblStylePr>
    <w:tblStylePr w:type="band1Horz">
      <w:tblPr/>
      <w:tcPr>
        <w:shd w:val="clear" w:color="auto" w:fill="F0D6E9" w:themeFill="accent1" w:themeFillTint="33"/>
      </w:tcPr>
    </w:tblStylePr>
  </w:style>
  <w:style w:type="table" w:styleId="GridTable4-Accent1">
    <w:name w:val="Grid Table 4 Accent 1"/>
    <w:basedOn w:val="TableNormal"/>
    <w:uiPriority w:val="49"/>
    <w:rsid w:val="00821E3D"/>
    <w:pPr>
      <w:spacing w:after="0" w:line="240" w:lineRule="auto"/>
    </w:pPr>
    <w:tblPr>
      <w:tblStyleRowBandSize w:val="1"/>
      <w:tblStyleColBandSize w:val="1"/>
      <w:tblBorders>
        <w:top w:val="single" w:sz="4" w:space="0" w:color="D286BE" w:themeColor="accent1" w:themeTint="99"/>
        <w:left w:val="single" w:sz="4" w:space="0" w:color="D286BE" w:themeColor="accent1" w:themeTint="99"/>
        <w:bottom w:val="single" w:sz="4" w:space="0" w:color="D286BE" w:themeColor="accent1" w:themeTint="99"/>
        <w:right w:val="single" w:sz="4" w:space="0" w:color="D286BE" w:themeColor="accent1" w:themeTint="99"/>
        <w:insideH w:val="single" w:sz="4" w:space="0" w:color="D286BE" w:themeColor="accent1" w:themeTint="99"/>
        <w:insideV w:val="single" w:sz="4" w:space="0" w:color="D286BE" w:themeColor="accent1" w:themeTint="99"/>
      </w:tblBorders>
    </w:tblPr>
    <w:tblStylePr w:type="firstRow">
      <w:rPr>
        <w:b/>
        <w:bCs/>
        <w:color w:val="FFFFFF" w:themeColor="background1"/>
      </w:rPr>
      <w:tblPr/>
      <w:tcPr>
        <w:tcBorders>
          <w:top w:val="single" w:sz="4" w:space="0" w:color="AC3F90" w:themeColor="accent1"/>
          <w:left w:val="single" w:sz="4" w:space="0" w:color="AC3F90" w:themeColor="accent1"/>
          <w:bottom w:val="single" w:sz="4" w:space="0" w:color="AC3F90" w:themeColor="accent1"/>
          <w:right w:val="single" w:sz="4" w:space="0" w:color="AC3F90" w:themeColor="accent1"/>
          <w:insideH w:val="nil"/>
          <w:insideV w:val="nil"/>
        </w:tcBorders>
        <w:shd w:val="clear" w:color="auto" w:fill="AC3F90" w:themeFill="accent1"/>
      </w:tcPr>
    </w:tblStylePr>
    <w:tblStylePr w:type="lastRow">
      <w:rPr>
        <w:b/>
        <w:bCs/>
      </w:rPr>
      <w:tblPr/>
      <w:tcPr>
        <w:tcBorders>
          <w:top w:val="double" w:sz="4" w:space="0" w:color="AC3F90" w:themeColor="accent1"/>
        </w:tcBorders>
      </w:tcPr>
    </w:tblStylePr>
    <w:tblStylePr w:type="firstCol">
      <w:rPr>
        <w:b/>
        <w:bCs/>
      </w:rPr>
    </w:tblStylePr>
    <w:tblStylePr w:type="lastCol">
      <w:rPr>
        <w:b/>
        <w:bCs/>
      </w:rPr>
    </w:tblStylePr>
    <w:tblStylePr w:type="band1Vert">
      <w:tblPr/>
      <w:tcPr>
        <w:shd w:val="clear" w:color="auto" w:fill="F0D6E9" w:themeFill="accent1" w:themeFillTint="33"/>
      </w:tcPr>
    </w:tblStylePr>
    <w:tblStylePr w:type="band1Horz">
      <w:tblPr/>
      <w:tcPr>
        <w:shd w:val="clear" w:color="auto" w:fill="F0D6E9" w:themeFill="accent1" w:themeFillTint="33"/>
      </w:tcPr>
    </w:tblStylePr>
  </w:style>
  <w:style w:type="character" w:styleId="PlaceholderText">
    <w:name w:val="Placeholder Text"/>
    <w:basedOn w:val="DefaultParagraphFont"/>
    <w:uiPriority w:val="99"/>
    <w:semiHidden/>
    <w:rsid w:val="008158BF"/>
    <w:rPr>
      <w:color w:val="808080"/>
    </w:rPr>
  </w:style>
  <w:style w:type="character" w:styleId="CommentReference">
    <w:name w:val="annotation reference"/>
    <w:basedOn w:val="DefaultParagraphFont"/>
    <w:uiPriority w:val="99"/>
    <w:semiHidden/>
    <w:unhideWhenUsed/>
    <w:rsid w:val="00810EDE"/>
    <w:rPr>
      <w:sz w:val="16"/>
      <w:szCs w:val="16"/>
    </w:rPr>
  </w:style>
  <w:style w:type="paragraph" w:styleId="CommentText">
    <w:name w:val="annotation text"/>
    <w:basedOn w:val="Normal"/>
    <w:link w:val="CommentTextChar"/>
    <w:uiPriority w:val="99"/>
    <w:semiHidden/>
    <w:unhideWhenUsed/>
    <w:rsid w:val="00810EDE"/>
  </w:style>
  <w:style w:type="character" w:customStyle="1" w:styleId="CommentTextChar">
    <w:name w:val="Comment Text Char"/>
    <w:basedOn w:val="DefaultParagraphFont"/>
    <w:link w:val="CommentText"/>
    <w:uiPriority w:val="99"/>
    <w:semiHidden/>
    <w:rsid w:val="00810EDE"/>
    <w:rPr>
      <w:sz w:val="20"/>
      <w:szCs w:val="20"/>
    </w:rPr>
  </w:style>
  <w:style w:type="paragraph" w:styleId="CommentSubject">
    <w:name w:val="annotation subject"/>
    <w:basedOn w:val="CommentText"/>
    <w:next w:val="CommentText"/>
    <w:link w:val="CommentSubjectChar"/>
    <w:uiPriority w:val="99"/>
    <w:semiHidden/>
    <w:unhideWhenUsed/>
    <w:rsid w:val="00810EDE"/>
    <w:rPr>
      <w:b/>
      <w:bCs/>
    </w:rPr>
  </w:style>
  <w:style w:type="character" w:customStyle="1" w:styleId="CommentSubjectChar">
    <w:name w:val="Comment Subject Char"/>
    <w:basedOn w:val="CommentTextChar"/>
    <w:link w:val="CommentSubject"/>
    <w:uiPriority w:val="99"/>
    <w:semiHidden/>
    <w:rsid w:val="00810EDE"/>
    <w:rPr>
      <w:b/>
      <w:bCs/>
      <w:sz w:val="20"/>
      <w:szCs w:val="20"/>
    </w:rPr>
  </w:style>
  <w:style w:type="paragraph" w:styleId="BalloonText">
    <w:name w:val="Balloon Text"/>
    <w:basedOn w:val="Normal"/>
    <w:link w:val="BalloonTextChar"/>
    <w:uiPriority w:val="99"/>
    <w:semiHidden/>
    <w:unhideWhenUsed/>
    <w:rsid w:val="00810ED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EDE"/>
    <w:rPr>
      <w:rFonts w:ascii="Segoe UI" w:hAnsi="Segoe UI" w:cs="Segoe UI"/>
      <w:sz w:val="18"/>
      <w:szCs w:val="18"/>
    </w:rPr>
  </w:style>
  <w:style w:type="character" w:styleId="FollowedHyperlink">
    <w:name w:val="FollowedHyperlink"/>
    <w:basedOn w:val="DefaultParagraphFont"/>
    <w:uiPriority w:val="99"/>
    <w:semiHidden/>
    <w:unhideWhenUsed/>
    <w:rsid w:val="008A1B06"/>
    <w:rPr>
      <w:color w:val="241E4C" w:themeColor="followedHyperlink"/>
      <w:u w:val="single"/>
    </w:rPr>
  </w:style>
  <w:style w:type="character" w:customStyle="1" w:styleId="Heading4Char">
    <w:name w:val="Heading 4 Char"/>
    <w:basedOn w:val="DefaultParagraphFont"/>
    <w:link w:val="Heading4"/>
    <w:uiPriority w:val="9"/>
    <w:semiHidden/>
    <w:rsid w:val="00D7206A"/>
    <w:rPr>
      <w:b/>
      <w:color w:val="FFFFFF" w:themeColor="background2"/>
      <w:spacing w:val="10"/>
      <w:shd w:val="clear" w:color="auto" w:fill="1EB2BB" w:themeFill="accent4"/>
    </w:rPr>
  </w:style>
  <w:style w:type="character" w:customStyle="1" w:styleId="Heading5Char">
    <w:name w:val="Heading 5 Char"/>
    <w:basedOn w:val="DefaultParagraphFont"/>
    <w:link w:val="Heading5"/>
    <w:uiPriority w:val="9"/>
    <w:semiHidden/>
    <w:rsid w:val="00D7206A"/>
    <w:rPr>
      <w:b/>
      <w:color w:val="FFFFFF" w:themeColor="background2"/>
      <w:spacing w:val="10"/>
      <w:shd w:val="clear" w:color="auto" w:fill="241E4C" w:themeFill="accent5"/>
    </w:rPr>
  </w:style>
  <w:style w:type="character" w:customStyle="1" w:styleId="Heading6Char">
    <w:name w:val="Heading 6 Char"/>
    <w:basedOn w:val="DefaultParagraphFont"/>
    <w:link w:val="Heading6"/>
    <w:uiPriority w:val="9"/>
    <w:semiHidden/>
    <w:rsid w:val="00D7206A"/>
    <w:rPr>
      <w:caps/>
      <w:color w:val="802F6B" w:themeColor="accent1" w:themeShade="BF"/>
      <w:spacing w:val="10"/>
    </w:rPr>
  </w:style>
  <w:style w:type="character" w:customStyle="1" w:styleId="Heading7Char">
    <w:name w:val="Heading 7 Char"/>
    <w:basedOn w:val="DefaultParagraphFont"/>
    <w:link w:val="Heading7"/>
    <w:uiPriority w:val="9"/>
    <w:semiHidden/>
    <w:rsid w:val="00D7206A"/>
    <w:rPr>
      <w:caps/>
      <w:color w:val="802F6B" w:themeColor="accent1" w:themeShade="BF"/>
      <w:spacing w:val="10"/>
    </w:rPr>
  </w:style>
  <w:style w:type="character" w:customStyle="1" w:styleId="Heading8Char">
    <w:name w:val="Heading 8 Char"/>
    <w:basedOn w:val="DefaultParagraphFont"/>
    <w:link w:val="Heading8"/>
    <w:uiPriority w:val="9"/>
    <w:semiHidden/>
    <w:rsid w:val="00D7206A"/>
    <w:rPr>
      <w:caps/>
      <w:spacing w:val="10"/>
      <w:sz w:val="18"/>
      <w:szCs w:val="18"/>
    </w:rPr>
  </w:style>
  <w:style w:type="character" w:customStyle="1" w:styleId="Heading9Char">
    <w:name w:val="Heading 9 Char"/>
    <w:basedOn w:val="DefaultParagraphFont"/>
    <w:link w:val="Heading9"/>
    <w:uiPriority w:val="9"/>
    <w:semiHidden/>
    <w:rsid w:val="00D7206A"/>
    <w:rPr>
      <w:i/>
      <w:iCs/>
      <w:caps/>
      <w:spacing w:val="10"/>
      <w:sz w:val="18"/>
      <w:szCs w:val="18"/>
    </w:rPr>
  </w:style>
  <w:style w:type="paragraph" w:styleId="Caption">
    <w:name w:val="caption"/>
    <w:basedOn w:val="Normal"/>
    <w:next w:val="Normal"/>
    <w:uiPriority w:val="35"/>
    <w:semiHidden/>
    <w:unhideWhenUsed/>
    <w:qFormat/>
    <w:rsid w:val="00D7206A"/>
    <w:rPr>
      <w:b/>
      <w:bCs/>
      <w:color w:val="802F6B" w:themeColor="accent1" w:themeShade="BF"/>
      <w:sz w:val="16"/>
      <w:szCs w:val="16"/>
    </w:rPr>
  </w:style>
  <w:style w:type="character" w:styleId="Strong">
    <w:name w:val="Strong"/>
    <w:uiPriority w:val="22"/>
    <w:qFormat/>
    <w:rsid w:val="00D7206A"/>
    <w:rPr>
      <w:b/>
      <w:bCs/>
    </w:rPr>
  </w:style>
  <w:style w:type="character" w:styleId="Emphasis">
    <w:name w:val="Emphasis"/>
    <w:uiPriority w:val="20"/>
    <w:qFormat/>
    <w:rsid w:val="00D7206A"/>
    <w:rPr>
      <w:caps/>
      <w:color w:val="551F47" w:themeColor="accent1" w:themeShade="7F"/>
      <w:spacing w:val="5"/>
    </w:rPr>
  </w:style>
  <w:style w:type="paragraph" w:styleId="NoSpacing">
    <w:name w:val="No Spacing"/>
    <w:uiPriority w:val="1"/>
    <w:qFormat/>
    <w:rsid w:val="00D7206A"/>
    <w:pPr>
      <w:spacing w:after="0" w:line="240" w:lineRule="auto"/>
    </w:pPr>
    <w:rPr>
      <w:color w:val="241E4C" w:themeColor="text1"/>
    </w:rPr>
  </w:style>
  <w:style w:type="paragraph" w:styleId="Quote">
    <w:name w:val="Quote"/>
    <w:basedOn w:val="Normal"/>
    <w:next w:val="Normal"/>
    <w:link w:val="QuoteChar"/>
    <w:uiPriority w:val="29"/>
    <w:qFormat/>
    <w:rsid w:val="00D7206A"/>
    <w:rPr>
      <w:i/>
      <w:iCs/>
      <w:color w:val="auto"/>
      <w:sz w:val="24"/>
      <w:szCs w:val="24"/>
    </w:rPr>
  </w:style>
  <w:style w:type="character" w:customStyle="1" w:styleId="QuoteChar">
    <w:name w:val="Quote Char"/>
    <w:basedOn w:val="DefaultParagraphFont"/>
    <w:link w:val="Quote"/>
    <w:uiPriority w:val="29"/>
    <w:rsid w:val="00D7206A"/>
    <w:rPr>
      <w:i/>
      <w:iCs/>
      <w:sz w:val="24"/>
      <w:szCs w:val="24"/>
    </w:rPr>
  </w:style>
  <w:style w:type="paragraph" w:styleId="IntenseQuote">
    <w:name w:val="Intense Quote"/>
    <w:basedOn w:val="Normal"/>
    <w:next w:val="Normal"/>
    <w:link w:val="IntenseQuoteChar"/>
    <w:uiPriority w:val="30"/>
    <w:qFormat/>
    <w:rsid w:val="00D7206A"/>
    <w:pPr>
      <w:spacing w:before="240" w:after="240" w:line="240" w:lineRule="auto"/>
      <w:ind w:left="1080" w:right="1080"/>
      <w:jc w:val="center"/>
    </w:pPr>
    <w:rPr>
      <w:color w:val="AC3F90" w:themeColor="accent1"/>
      <w:sz w:val="24"/>
      <w:szCs w:val="24"/>
    </w:rPr>
  </w:style>
  <w:style w:type="character" w:customStyle="1" w:styleId="IntenseQuoteChar">
    <w:name w:val="Intense Quote Char"/>
    <w:basedOn w:val="DefaultParagraphFont"/>
    <w:link w:val="IntenseQuote"/>
    <w:uiPriority w:val="30"/>
    <w:rsid w:val="00D7206A"/>
    <w:rPr>
      <w:color w:val="AC3F90" w:themeColor="accent1"/>
      <w:sz w:val="24"/>
      <w:szCs w:val="24"/>
    </w:rPr>
  </w:style>
  <w:style w:type="character" w:styleId="SubtleEmphasis">
    <w:name w:val="Subtle Emphasis"/>
    <w:uiPriority w:val="19"/>
    <w:qFormat/>
    <w:rsid w:val="00D7206A"/>
    <w:rPr>
      <w:rFonts w:asciiTheme="minorHAnsi" w:hAnsiTheme="minorHAnsi"/>
      <w:b w:val="0"/>
      <w:i w:val="0"/>
      <w:iCs/>
      <w:caps w:val="0"/>
      <w:smallCaps w:val="0"/>
      <w:strike w:val="0"/>
      <w:dstrike w:val="0"/>
      <w:vanish w:val="0"/>
      <w:color w:val="241E4C" w:themeColor="text2"/>
      <w:sz w:val="20"/>
      <w:bdr w:val="single" w:sz="24" w:space="0" w:color="C9C4E8" w:themeColor="text2" w:themeTint="33"/>
      <w:shd w:val="clear" w:color="auto" w:fill="C9C4E8" w:themeFill="text2" w:themeFillTint="33"/>
      <w:vertAlign w:val="baseline"/>
    </w:rPr>
  </w:style>
  <w:style w:type="character" w:styleId="IntenseEmphasis">
    <w:name w:val="Intense Emphasis"/>
    <w:uiPriority w:val="21"/>
    <w:qFormat/>
    <w:rsid w:val="00D7206A"/>
    <w:rPr>
      <w:b/>
      <w:bCs/>
      <w:caps/>
      <w:color w:val="551F47" w:themeColor="accent1" w:themeShade="7F"/>
      <w:spacing w:val="10"/>
    </w:rPr>
  </w:style>
  <w:style w:type="character" w:styleId="SubtleReference">
    <w:name w:val="Subtle Reference"/>
    <w:uiPriority w:val="31"/>
    <w:qFormat/>
    <w:rsid w:val="00D7206A"/>
    <w:rPr>
      <w:b/>
      <w:bCs/>
      <w:color w:val="AC3F90" w:themeColor="accent1"/>
    </w:rPr>
  </w:style>
  <w:style w:type="character" w:styleId="IntenseReference">
    <w:name w:val="Intense Reference"/>
    <w:uiPriority w:val="32"/>
    <w:qFormat/>
    <w:rsid w:val="00D7206A"/>
    <w:rPr>
      <w:b/>
      <w:bCs/>
      <w:i/>
      <w:iCs/>
      <w:caps/>
      <w:color w:val="AC3F90" w:themeColor="accent1"/>
    </w:rPr>
  </w:style>
  <w:style w:type="character" w:styleId="BookTitle">
    <w:name w:val="Book Title"/>
    <w:uiPriority w:val="33"/>
    <w:qFormat/>
    <w:rsid w:val="00D7206A"/>
    <w:rPr>
      <w:b/>
      <w:bCs/>
      <w:i/>
      <w:iCs/>
      <w:spacing w:val="0"/>
    </w:rPr>
  </w:style>
  <w:style w:type="paragraph" w:styleId="TOCHeading">
    <w:name w:val="TOC Heading"/>
    <w:basedOn w:val="Heading1"/>
    <w:next w:val="Normal"/>
    <w:uiPriority w:val="39"/>
    <w:semiHidden/>
    <w:unhideWhenUsed/>
    <w:qFormat/>
    <w:rsid w:val="00D7206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forthvalley.ac.uk/student-info/student-funding/childcare/" TargetMode="External"/><Relationship Id="rId4" Type="http://schemas.openxmlformats.org/officeDocument/2006/relationships/webSettings" Target="webSettings.xml"/><Relationship Id="rId9" Type="http://schemas.openxmlformats.org/officeDocument/2006/relationships/hyperlink" Target="https://www.mygov.scot/childcare-costs-help/funded-early-learning-and-childcar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VC">
      <a:dk1>
        <a:srgbClr val="241E4C"/>
      </a:dk1>
      <a:lt1>
        <a:sysClr val="window" lastClr="FFFFFF"/>
      </a:lt1>
      <a:dk2>
        <a:srgbClr val="241E4C"/>
      </a:dk2>
      <a:lt2>
        <a:srgbClr val="FFFFFF"/>
      </a:lt2>
      <a:accent1>
        <a:srgbClr val="AC3F90"/>
      </a:accent1>
      <a:accent2>
        <a:srgbClr val="E9CD52"/>
      </a:accent2>
      <a:accent3>
        <a:srgbClr val="5C4494"/>
      </a:accent3>
      <a:accent4>
        <a:srgbClr val="1EB2BB"/>
      </a:accent4>
      <a:accent5>
        <a:srgbClr val="241E4C"/>
      </a:accent5>
      <a:accent6>
        <a:srgbClr val="CE8BBC"/>
      </a:accent6>
      <a:hlink>
        <a:srgbClr val="AC3F90"/>
      </a:hlink>
      <a:folHlink>
        <a:srgbClr val="241E4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FVC</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Davidson</dc:creator>
  <cp:keywords/>
  <dc:description/>
  <cp:lastModifiedBy>emma.davidson</cp:lastModifiedBy>
  <cp:revision>15</cp:revision>
  <cp:lastPrinted>2023-07-05T09:39:00Z</cp:lastPrinted>
  <dcterms:created xsi:type="dcterms:W3CDTF">2024-06-06T09:47:00Z</dcterms:created>
  <dcterms:modified xsi:type="dcterms:W3CDTF">2025-08-13T14:20:00Z</dcterms:modified>
</cp:coreProperties>
</file>